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097" w:type="pct"/>
        <w:tblLayout w:type="fixed"/>
        <w:tblCellMar>
          <w:left w:w="70" w:type="dxa"/>
          <w:right w:w="70" w:type="dxa"/>
        </w:tblCellMar>
        <w:tblLook w:val="0000" w:firstRow="0" w:lastRow="0" w:firstColumn="0" w:lastColumn="0" w:noHBand="0" w:noVBand="0"/>
      </w:tblPr>
      <w:tblGrid>
        <w:gridCol w:w="5881"/>
      </w:tblGrid>
      <w:tr w:rsidR="00EA089B" w:rsidRPr="00141298">
        <w:trPr>
          <w:cantSplit/>
          <w:trHeight w:val="555"/>
        </w:trPr>
        <w:tc>
          <w:tcPr>
            <w:tcW w:w="5000" w:type="pct"/>
            <w:tcBorders>
              <w:top w:val="single" w:sz="4" w:space="0" w:color="auto"/>
              <w:left w:val="single" w:sz="4" w:space="0" w:color="auto"/>
              <w:right w:val="single" w:sz="4" w:space="0" w:color="auto"/>
            </w:tcBorders>
          </w:tcPr>
          <w:p w:rsidR="00EA089B" w:rsidRPr="000D108F" w:rsidRDefault="003364FD" w:rsidP="004F460A">
            <w:pPr>
              <w:spacing w:before="120" w:line="240" w:lineRule="auto"/>
            </w:pPr>
            <w:bookmarkStart w:id="0" w:name="datum"/>
            <w:bookmarkStart w:id="1" w:name="_GoBack"/>
            <w:bookmarkEnd w:id="0"/>
            <w:bookmarkEnd w:id="1"/>
            <w:r>
              <w:t xml:space="preserve">Berlin, </w:t>
            </w:r>
            <w:r w:rsidR="004F460A">
              <w:t>29</w:t>
            </w:r>
            <w:r>
              <w:t xml:space="preserve">. </w:t>
            </w:r>
            <w:r w:rsidR="004F460A">
              <w:t>Januar 2015</w:t>
            </w:r>
          </w:p>
        </w:tc>
      </w:tr>
      <w:tr w:rsidR="00EA089B" w:rsidRPr="007A4C54">
        <w:trPr>
          <w:cantSplit/>
          <w:trHeight w:val="572"/>
        </w:trPr>
        <w:tc>
          <w:tcPr>
            <w:tcW w:w="5000" w:type="pct"/>
            <w:tcBorders>
              <w:left w:val="single" w:sz="4" w:space="0" w:color="auto"/>
              <w:right w:val="single" w:sz="4" w:space="0" w:color="auto"/>
            </w:tcBorders>
            <w:vAlign w:val="center"/>
          </w:tcPr>
          <w:p w:rsidR="00EA089B" w:rsidRPr="007A4C54" w:rsidRDefault="003364FD" w:rsidP="008317D8">
            <w:pPr>
              <w:spacing w:line="240" w:lineRule="auto"/>
              <w:rPr>
                <w:b/>
                <w:sz w:val="32"/>
                <w:szCs w:val="32"/>
              </w:rPr>
            </w:pPr>
            <w:bookmarkStart w:id="2" w:name="info"/>
            <w:bookmarkEnd w:id="2"/>
            <w:r>
              <w:rPr>
                <w:b/>
                <w:sz w:val="32"/>
                <w:szCs w:val="32"/>
              </w:rPr>
              <w:t>Kabinettvorlage (ohne Aussprache)</w:t>
            </w:r>
          </w:p>
        </w:tc>
      </w:tr>
      <w:tr w:rsidR="00EA089B" w:rsidRPr="004F6739">
        <w:trPr>
          <w:cantSplit/>
          <w:trHeight w:val="849"/>
        </w:trPr>
        <w:tc>
          <w:tcPr>
            <w:tcW w:w="5000" w:type="pct"/>
            <w:tcBorders>
              <w:left w:val="single" w:sz="4" w:space="0" w:color="auto"/>
              <w:right w:val="single" w:sz="4" w:space="0" w:color="auto"/>
            </w:tcBorders>
            <w:vAlign w:val="center"/>
          </w:tcPr>
          <w:p w:rsidR="00EA089B" w:rsidRPr="000D108F" w:rsidRDefault="00EA089B" w:rsidP="00234010">
            <w:pPr>
              <w:spacing w:line="240" w:lineRule="auto"/>
              <w:rPr>
                <w:b/>
                <w:sz w:val="28"/>
                <w:szCs w:val="28"/>
              </w:rPr>
            </w:pPr>
            <w:r>
              <w:rPr>
                <w:b/>
                <w:sz w:val="28"/>
                <w:szCs w:val="28"/>
              </w:rPr>
              <w:t>Herrn Minister</w:t>
            </w:r>
          </w:p>
          <w:p w:rsidR="00EA089B" w:rsidRPr="000D108F" w:rsidRDefault="00EA089B" w:rsidP="00234010">
            <w:pPr>
              <w:spacing w:line="240" w:lineRule="auto"/>
            </w:pPr>
            <w:r>
              <w:t>a.d.D. über PR/KR</w:t>
            </w:r>
          </w:p>
        </w:tc>
      </w:tr>
      <w:tr w:rsidR="00EA089B">
        <w:tblPrEx>
          <w:tblCellMar>
            <w:left w:w="71" w:type="dxa"/>
            <w:right w:w="71" w:type="dxa"/>
          </w:tblCellMar>
        </w:tblPrEx>
        <w:trPr>
          <w:cantSplit/>
          <w:trHeight w:val="2673"/>
        </w:trPr>
        <w:tc>
          <w:tcPr>
            <w:tcW w:w="5000" w:type="pct"/>
            <w:tcBorders>
              <w:left w:val="single" w:sz="4" w:space="0" w:color="auto"/>
              <w:right w:val="single" w:sz="4" w:space="0" w:color="auto"/>
            </w:tcBorders>
            <w:vAlign w:val="center"/>
          </w:tcPr>
          <w:p w:rsidR="00EA089B" w:rsidRPr="009B79A8" w:rsidRDefault="009B79A8" w:rsidP="008317D8">
            <w:pPr>
              <w:spacing w:before="60" w:after="60" w:line="240" w:lineRule="auto"/>
              <w:rPr>
                <w:b/>
                <w:u w:val="single"/>
              </w:rPr>
            </w:pPr>
            <w:r w:rsidRPr="009B79A8">
              <w:rPr>
                <w:b/>
                <w:u w:val="single"/>
              </w:rPr>
              <w:t>Betr</w:t>
            </w:r>
            <w:r w:rsidR="00381F71">
              <w:rPr>
                <w:b/>
                <w:u w:val="single"/>
              </w:rPr>
              <w:t>.</w:t>
            </w:r>
            <w:r w:rsidRPr="009B79A8">
              <w:rPr>
                <w:b/>
                <w:u w:val="single"/>
              </w:rPr>
              <w:t>:</w:t>
            </w:r>
          </w:p>
          <w:p w:rsidR="009B79A8" w:rsidRPr="005E54D0" w:rsidRDefault="003364FD" w:rsidP="008317D8">
            <w:pPr>
              <w:spacing w:line="240" w:lineRule="auto"/>
              <w:rPr>
                <w:b/>
              </w:rPr>
            </w:pPr>
            <w:bookmarkStart w:id="3" w:name="betr"/>
            <w:bookmarkEnd w:id="3"/>
            <w:r>
              <w:rPr>
                <w:b/>
              </w:rPr>
              <w:t>Entwurf eines Ersten Gesetzes zur Änderung des Informationsweiterverwendungsgesetzes (IWG)</w:t>
            </w:r>
          </w:p>
        </w:tc>
      </w:tr>
      <w:tr w:rsidR="00EA089B" w:rsidRPr="00EA21B3">
        <w:tblPrEx>
          <w:tblCellMar>
            <w:left w:w="71" w:type="dxa"/>
            <w:right w:w="71" w:type="dxa"/>
          </w:tblCellMar>
        </w:tblPrEx>
        <w:trPr>
          <w:cantSplit/>
          <w:trHeight w:val="917"/>
        </w:trPr>
        <w:tc>
          <w:tcPr>
            <w:tcW w:w="5000" w:type="pct"/>
            <w:tcBorders>
              <w:left w:val="single" w:sz="4" w:space="0" w:color="auto"/>
              <w:bottom w:val="single" w:sz="4" w:space="0" w:color="auto"/>
              <w:right w:val="single" w:sz="4" w:space="0" w:color="auto"/>
            </w:tcBorders>
            <w:vAlign w:val="center"/>
          </w:tcPr>
          <w:p w:rsidR="00EA089B" w:rsidRPr="000D108F" w:rsidRDefault="003364FD" w:rsidP="004F460A">
            <w:pPr>
              <w:spacing w:before="60" w:line="240" w:lineRule="auto"/>
              <w:rPr>
                <w:b/>
              </w:rPr>
            </w:pPr>
            <w:bookmarkStart w:id="4" w:name="termin"/>
            <w:bookmarkEnd w:id="4"/>
            <w:r>
              <w:rPr>
                <w:b/>
              </w:rPr>
              <w:t>Für die Kabinettsitzung am: 1</w:t>
            </w:r>
            <w:r w:rsidR="004F460A">
              <w:rPr>
                <w:b/>
              </w:rPr>
              <w:t>1</w:t>
            </w:r>
            <w:r>
              <w:rPr>
                <w:b/>
              </w:rPr>
              <w:t>.</w:t>
            </w:r>
            <w:r w:rsidR="004F460A">
              <w:rPr>
                <w:b/>
              </w:rPr>
              <w:t>02</w:t>
            </w:r>
            <w:r>
              <w:rPr>
                <w:b/>
              </w:rPr>
              <w:t>.201</w:t>
            </w:r>
            <w:r w:rsidR="004F460A">
              <w:rPr>
                <w:b/>
              </w:rPr>
              <w:t>5</w:t>
            </w:r>
          </w:p>
        </w:tc>
      </w:tr>
    </w:tbl>
    <w:tbl>
      <w:tblPr>
        <w:tblpPr w:vertAnchor="page" w:horzAnchor="margin" w:tblpXSpec="right" w:tblpY="958"/>
        <w:tblW w:w="1792" w:type="pct"/>
        <w:tblLayout w:type="fixed"/>
        <w:tblCellMar>
          <w:left w:w="70" w:type="dxa"/>
          <w:right w:w="70" w:type="dxa"/>
        </w:tblCellMar>
        <w:tblLook w:val="0000" w:firstRow="0" w:lastRow="0" w:firstColumn="0" w:lastColumn="0" w:noHBand="0" w:noVBand="0"/>
      </w:tblPr>
      <w:tblGrid>
        <w:gridCol w:w="1063"/>
        <w:gridCol w:w="2340"/>
      </w:tblGrid>
      <w:tr w:rsidR="009A25D5">
        <w:trPr>
          <w:cantSplit/>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A25D5" w:rsidRPr="009A25D5" w:rsidRDefault="009A25D5" w:rsidP="009A25D5">
            <w:pPr>
              <w:spacing w:line="240" w:lineRule="auto"/>
              <w:jc w:val="center"/>
              <w:rPr>
                <w:sz w:val="16"/>
                <w:szCs w:val="16"/>
              </w:rPr>
            </w:pPr>
            <w:r>
              <w:rPr>
                <w:sz w:val="16"/>
                <w:szCs w:val="16"/>
              </w:rPr>
              <w:t>Vom Leitungsbereich auszufüllen</w:t>
            </w:r>
          </w:p>
        </w:tc>
      </w:tr>
      <w:tr w:rsidR="00EA089B">
        <w:trPr>
          <w:cantSplit/>
          <w:trHeight w:val="454"/>
        </w:trPr>
        <w:tc>
          <w:tcPr>
            <w:tcW w:w="1562" w:type="pct"/>
            <w:tcBorders>
              <w:top w:val="single" w:sz="4" w:space="0" w:color="auto"/>
              <w:left w:val="single" w:sz="4" w:space="0" w:color="auto"/>
              <w:bottom w:val="single" w:sz="4" w:space="0" w:color="auto"/>
              <w:right w:val="single" w:sz="4" w:space="0" w:color="auto"/>
            </w:tcBorders>
            <w:shd w:val="clear" w:color="auto" w:fill="D9D9D9"/>
            <w:vAlign w:val="center"/>
          </w:tcPr>
          <w:p w:rsidR="00EA089B" w:rsidRPr="001F3421" w:rsidRDefault="00EA089B" w:rsidP="00234010">
            <w:pPr>
              <w:spacing w:line="240" w:lineRule="auto"/>
              <w:rPr>
                <w:sz w:val="20"/>
              </w:rPr>
            </w:pPr>
            <w:r w:rsidRPr="001F3421">
              <w:rPr>
                <w:sz w:val="20"/>
              </w:rPr>
              <w:t>TGB-Nr.</w:t>
            </w:r>
          </w:p>
        </w:tc>
        <w:tc>
          <w:tcPr>
            <w:tcW w:w="3438" w:type="pct"/>
            <w:tcBorders>
              <w:top w:val="single" w:sz="4" w:space="0" w:color="auto"/>
              <w:left w:val="single" w:sz="4" w:space="0" w:color="auto"/>
              <w:bottom w:val="single" w:sz="4" w:space="0" w:color="auto"/>
              <w:right w:val="single" w:sz="4" w:space="0" w:color="auto"/>
            </w:tcBorders>
            <w:shd w:val="clear" w:color="auto" w:fill="D9D9D9"/>
            <w:vAlign w:val="center"/>
          </w:tcPr>
          <w:p w:rsidR="00EA089B" w:rsidRPr="001F3421" w:rsidRDefault="00EA089B" w:rsidP="00706712">
            <w:pPr>
              <w:spacing w:line="240" w:lineRule="auto"/>
              <w:rPr>
                <w:sz w:val="20"/>
              </w:rPr>
            </w:pPr>
            <w:bookmarkStart w:id="5" w:name="TGB"/>
            <w:bookmarkEnd w:id="5"/>
          </w:p>
        </w:tc>
      </w:tr>
      <w:tr w:rsidR="00EA089B">
        <w:trPr>
          <w:cantSplit/>
          <w:trHeight w:val="454"/>
        </w:trPr>
        <w:tc>
          <w:tcPr>
            <w:tcW w:w="1562" w:type="pct"/>
            <w:tcBorders>
              <w:top w:val="single" w:sz="4" w:space="0" w:color="auto"/>
              <w:left w:val="single" w:sz="4" w:space="0" w:color="auto"/>
              <w:bottom w:val="single" w:sz="4" w:space="0" w:color="auto"/>
              <w:right w:val="single" w:sz="4" w:space="0" w:color="auto"/>
            </w:tcBorders>
            <w:shd w:val="clear" w:color="auto" w:fill="D9D9D9"/>
            <w:vAlign w:val="center"/>
          </w:tcPr>
          <w:p w:rsidR="00EA089B" w:rsidRPr="001F3421" w:rsidRDefault="00EA089B" w:rsidP="00234010">
            <w:pPr>
              <w:spacing w:line="240" w:lineRule="auto"/>
              <w:rPr>
                <w:sz w:val="20"/>
              </w:rPr>
            </w:pPr>
            <w:r w:rsidRPr="001F3421">
              <w:rPr>
                <w:sz w:val="20"/>
              </w:rPr>
              <w:t>Eingang</w:t>
            </w:r>
            <w:r w:rsidR="009A25D5">
              <w:rPr>
                <w:sz w:val="20"/>
              </w:rPr>
              <w:br/>
              <w:t>Leitung</w:t>
            </w:r>
          </w:p>
        </w:tc>
        <w:tc>
          <w:tcPr>
            <w:tcW w:w="3438" w:type="pct"/>
            <w:tcBorders>
              <w:top w:val="single" w:sz="4" w:space="0" w:color="auto"/>
              <w:left w:val="single" w:sz="4" w:space="0" w:color="auto"/>
              <w:bottom w:val="single" w:sz="4" w:space="0" w:color="auto"/>
              <w:right w:val="single" w:sz="4" w:space="0" w:color="auto"/>
            </w:tcBorders>
            <w:shd w:val="clear" w:color="auto" w:fill="D9D9D9"/>
            <w:vAlign w:val="center"/>
          </w:tcPr>
          <w:p w:rsidR="00EA089B" w:rsidRPr="001F3421" w:rsidRDefault="00EA089B" w:rsidP="00706712">
            <w:pPr>
              <w:spacing w:line="240" w:lineRule="auto"/>
              <w:rPr>
                <w:sz w:val="20"/>
              </w:rPr>
            </w:pPr>
          </w:p>
        </w:tc>
      </w:tr>
      <w:tr w:rsidR="00EA089B">
        <w:trPr>
          <w:cantSplit/>
          <w:trHeight w:val="454"/>
        </w:trPr>
        <w:tc>
          <w:tcPr>
            <w:tcW w:w="1562" w:type="pct"/>
            <w:tcBorders>
              <w:top w:val="single" w:sz="4" w:space="0" w:color="auto"/>
              <w:left w:val="single" w:sz="4" w:space="0" w:color="auto"/>
              <w:bottom w:val="single" w:sz="4" w:space="0" w:color="auto"/>
              <w:right w:val="single" w:sz="4" w:space="0" w:color="auto"/>
            </w:tcBorders>
            <w:shd w:val="clear" w:color="auto" w:fill="D9D9D9"/>
            <w:vAlign w:val="center"/>
          </w:tcPr>
          <w:p w:rsidR="00EA089B" w:rsidRPr="001F3421" w:rsidRDefault="00EA089B" w:rsidP="00234010">
            <w:pPr>
              <w:spacing w:line="240" w:lineRule="auto"/>
              <w:rPr>
                <w:sz w:val="20"/>
              </w:rPr>
            </w:pPr>
            <w:r w:rsidRPr="001F3421">
              <w:rPr>
                <w:sz w:val="20"/>
              </w:rPr>
              <w:t>V-/U-Nr.</w:t>
            </w:r>
          </w:p>
        </w:tc>
        <w:tc>
          <w:tcPr>
            <w:tcW w:w="3438" w:type="pct"/>
            <w:tcBorders>
              <w:top w:val="single" w:sz="4" w:space="0" w:color="auto"/>
              <w:left w:val="single" w:sz="4" w:space="0" w:color="auto"/>
              <w:bottom w:val="single" w:sz="4" w:space="0" w:color="auto"/>
              <w:right w:val="single" w:sz="4" w:space="0" w:color="auto"/>
            </w:tcBorders>
            <w:shd w:val="clear" w:color="auto" w:fill="D9D9D9"/>
            <w:vAlign w:val="center"/>
          </w:tcPr>
          <w:p w:rsidR="00EA089B" w:rsidRPr="001F3421" w:rsidRDefault="00EA089B" w:rsidP="00706712">
            <w:pPr>
              <w:spacing w:line="240" w:lineRule="auto"/>
              <w:rPr>
                <w:sz w:val="20"/>
              </w:rPr>
            </w:pPr>
          </w:p>
        </w:tc>
      </w:tr>
      <w:tr w:rsidR="009A25D5" w:rsidRPr="009A25D5">
        <w:trPr>
          <w:cantSplit/>
          <w:trHeight w:val="23"/>
        </w:trPr>
        <w:tc>
          <w:tcPr>
            <w:tcW w:w="5000" w:type="pct"/>
            <w:gridSpan w:val="2"/>
            <w:tcBorders>
              <w:top w:val="single" w:sz="4" w:space="0" w:color="auto"/>
              <w:bottom w:val="single" w:sz="4" w:space="0" w:color="auto"/>
            </w:tcBorders>
            <w:shd w:val="clear" w:color="auto" w:fill="auto"/>
            <w:vAlign w:val="center"/>
          </w:tcPr>
          <w:p w:rsidR="009A25D5" w:rsidRPr="009A25D5" w:rsidRDefault="009A25D5" w:rsidP="009A25D5">
            <w:pPr>
              <w:spacing w:line="240" w:lineRule="auto"/>
              <w:jc w:val="center"/>
              <w:rPr>
                <w:sz w:val="6"/>
                <w:szCs w:val="6"/>
              </w:rPr>
            </w:pPr>
          </w:p>
        </w:tc>
      </w:tr>
      <w:tr w:rsidR="009A25D5">
        <w:trPr>
          <w:cantSplit/>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A25D5" w:rsidRPr="009A25D5" w:rsidRDefault="009A25D5" w:rsidP="009A25D5">
            <w:pPr>
              <w:spacing w:line="240" w:lineRule="auto"/>
              <w:jc w:val="center"/>
              <w:rPr>
                <w:sz w:val="16"/>
                <w:szCs w:val="16"/>
              </w:rPr>
            </w:pPr>
            <w:r>
              <w:rPr>
                <w:sz w:val="16"/>
                <w:szCs w:val="16"/>
              </w:rPr>
              <w:t>Abzeichnungsleiste</w:t>
            </w:r>
          </w:p>
        </w:tc>
      </w:tr>
      <w:tr w:rsidR="00EA089B">
        <w:trPr>
          <w:cantSplit/>
          <w:trHeight w:val="567"/>
        </w:trPr>
        <w:tc>
          <w:tcPr>
            <w:tcW w:w="1562" w:type="pct"/>
            <w:tcBorders>
              <w:top w:val="single" w:sz="4" w:space="0" w:color="auto"/>
              <w:left w:val="single" w:sz="4" w:space="0" w:color="auto"/>
              <w:bottom w:val="single" w:sz="4" w:space="0" w:color="auto"/>
              <w:right w:val="single" w:sz="4" w:space="0" w:color="auto"/>
            </w:tcBorders>
            <w:shd w:val="clear" w:color="auto" w:fill="D9D9D9"/>
            <w:vAlign w:val="center"/>
          </w:tcPr>
          <w:p w:rsidR="00EA089B" w:rsidRPr="001F3421" w:rsidRDefault="00EA089B" w:rsidP="00234010">
            <w:pPr>
              <w:spacing w:before="60" w:line="240" w:lineRule="auto"/>
              <w:rPr>
                <w:sz w:val="20"/>
              </w:rPr>
            </w:pPr>
            <w:r w:rsidRPr="001F3421">
              <w:rPr>
                <w:sz w:val="20"/>
              </w:rPr>
              <w:t>St</w:t>
            </w:r>
          </w:p>
        </w:tc>
        <w:tc>
          <w:tcPr>
            <w:tcW w:w="3438" w:type="pct"/>
            <w:tcBorders>
              <w:top w:val="single" w:sz="4" w:space="0" w:color="auto"/>
              <w:left w:val="single" w:sz="4" w:space="0" w:color="auto"/>
              <w:bottom w:val="single" w:sz="4" w:space="0" w:color="auto"/>
              <w:right w:val="single" w:sz="4" w:space="0" w:color="auto"/>
            </w:tcBorders>
            <w:vAlign w:val="center"/>
          </w:tcPr>
          <w:p w:rsidR="00EA089B" w:rsidRPr="00C73F22" w:rsidRDefault="00EA089B" w:rsidP="00706712">
            <w:pPr>
              <w:spacing w:line="240" w:lineRule="auto"/>
              <w:rPr>
                <w:color w:val="FF0000"/>
                <w:sz w:val="20"/>
              </w:rPr>
            </w:pPr>
            <w:bookmarkStart w:id="6" w:name="ST"/>
            <w:bookmarkEnd w:id="6"/>
          </w:p>
        </w:tc>
      </w:tr>
      <w:tr w:rsidR="00EA089B" w:rsidRPr="00C73F22">
        <w:tblPrEx>
          <w:tblCellMar>
            <w:left w:w="71" w:type="dxa"/>
            <w:right w:w="71" w:type="dxa"/>
          </w:tblCellMar>
        </w:tblPrEx>
        <w:trPr>
          <w:cantSplit/>
          <w:trHeight w:val="567"/>
        </w:trPr>
        <w:tc>
          <w:tcPr>
            <w:tcW w:w="1562" w:type="pct"/>
            <w:tcBorders>
              <w:top w:val="single" w:sz="4" w:space="0" w:color="auto"/>
              <w:left w:val="single" w:sz="4" w:space="0" w:color="auto"/>
              <w:bottom w:val="single" w:sz="4" w:space="0" w:color="auto"/>
              <w:right w:val="single" w:sz="4" w:space="0" w:color="auto"/>
            </w:tcBorders>
            <w:shd w:val="clear" w:color="auto" w:fill="D9D9D9"/>
            <w:vAlign w:val="center"/>
          </w:tcPr>
          <w:p w:rsidR="00EA089B" w:rsidRPr="001F3421" w:rsidRDefault="00EA089B" w:rsidP="00234010">
            <w:pPr>
              <w:spacing w:before="60" w:line="240" w:lineRule="auto"/>
              <w:rPr>
                <w:sz w:val="20"/>
              </w:rPr>
            </w:pPr>
            <w:r w:rsidRPr="001F3421">
              <w:rPr>
                <w:sz w:val="20"/>
              </w:rPr>
              <w:t>AL</w:t>
            </w:r>
          </w:p>
        </w:tc>
        <w:tc>
          <w:tcPr>
            <w:tcW w:w="3438" w:type="pct"/>
            <w:tcBorders>
              <w:top w:val="single" w:sz="4" w:space="0" w:color="auto"/>
              <w:left w:val="single" w:sz="4" w:space="0" w:color="auto"/>
              <w:bottom w:val="single" w:sz="4" w:space="0" w:color="auto"/>
              <w:right w:val="single" w:sz="4" w:space="0" w:color="auto"/>
            </w:tcBorders>
            <w:vAlign w:val="center"/>
          </w:tcPr>
          <w:p w:rsidR="00EA089B" w:rsidRPr="00C73F22" w:rsidRDefault="00EA089B" w:rsidP="00706712">
            <w:pPr>
              <w:spacing w:line="240" w:lineRule="auto"/>
              <w:rPr>
                <w:color w:val="000080"/>
                <w:sz w:val="20"/>
              </w:rPr>
            </w:pPr>
            <w:bookmarkStart w:id="7" w:name="AL"/>
            <w:bookmarkEnd w:id="7"/>
          </w:p>
        </w:tc>
      </w:tr>
      <w:tr w:rsidR="00EA089B" w:rsidRPr="00C73F22">
        <w:tblPrEx>
          <w:tblCellMar>
            <w:left w:w="71" w:type="dxa"/>
            <w:right w:w="71" w:type="dxa"/>
          </w:tblCellMar>
        </w:tblPrEx>
        <w:trPr>
          <w:cantSplit/>
          <w:trHeight w:val="567"/>
        </w:trPr>
        <w:tc>
          <w:tcPr>
            <w:tcW w:w="1562" w:type="pct"/>
            <w:tcBorders>
              <w:top w:val="single" w:sz="4" w:space="0" w:color="auto"/>
              <w:left w:val="single" w:sz="4" w:space="0" w:color="auto"/>
              <w:bottom w:val="single" w:sz="4" w:space="0" w:color="auto"/>
              <w:right w:val="single" w:sz="4" w:space="0" w:color="auto"/>
            </w:tcBorders>
            <w:shd w:val="clear" w:color="auto" w:fill="D9D9D9"/>
            <w:vAlign w:val="center"/>
          </w:tcPr>
          <w:p w:rsidR="00EA089B" w:rsidRPr="001F3421" w:rsidRDefault="00EA089B" w:rsidP="00234010">
            <w:pPr>
              <w:spacing w:before="60" w:line="240" w:lineRule="auto"/>
              <w:rPr>
                <w:sz w:val="20"/>
              </w:rPr>
            </w:pPr>
            <w:r w:rsidRPr="001F3421">
              <w:rPr>
                <w:sz w:val="20"/>
              </w:rPr>
              <w:t>UAL</w:t>
            </w:r>
          </w:p>
        </w:tc>
        <w:tc>
          <w:tcPr>
            <w:tcW w:w="3438" w:type="pct"/>
            <w:tcBorders>
              <w:top w:val="single" w:sz="4" w:space="0" w:color="auto"/>
              <w:left w:val="single" w:sz="4" w:space="0" w:color="auto"/>
              <w:bottom w:val="single" w:sz="4" w:space="0" w:color="auto"/>
              <w:right w:val="single" w:sz="4" w:space="0" w:color="auto"/>
            </w:tcBorders>
            <w:vAlign w:val="center"/>
          </w:tcPr>
          <w:p w:rsidR="00EA089B" w:rsidRPr="00C73F22" w:rsidRDefault="00EA089B" w:rsidP="00706712">
            <w:pPr>
              <w:spacing w:line="240" w:lineRule="auto"/>
              <w:rPr>
                <w:color w:val="993300"/>
                <w:sz w:val="20"/>
              </w:rPr>
            </w:pPr>
            <w:bookmarkStart w:id="8" w:name="UAL"/>
            <w:bookmarkEnd w:id="8"/>
          </w:p>
        </w:tc>
      </w:tr>
      <w:tr w:rsidR="009A25D5" w:rsidRPr="009A25D5">
        <w:tblPrEx>
          <w:tblCellMar>
            <w:left w:w="71" w:type="dxa"/>
            <w:right w:w="71" w:type="dxa"/>
          </w:tblCellMar>
        </w:tblPrEx>
        <w:trPr>
          <w:cantSplit/>
          <w:trHeight w:val="23"/>
        </w:trPr>
        <w:tc>
          <w:tcPr>
            <w:tcW w:w="5000" w:type="pct"/>
            <w:gridSpan w:val="2"/>
            <w:tcBorders>
              <w:top w:val="single" w:sz="4" w:space="0" w:color="auto"/>
              <w:bottom w:val="single" w:sz="4" w:space="0" w:color="auto"/>
            </w:tcBorders>
            <w:shd w:val="clear" w:color="auto" w:fill="auto"/>
            <w:vAlign w:val="center"/>
          </w:tcPr>
          <w:p w:rsidR="009A25D5" w:rsidRPr="009A25D5" w:rsidRDefault="009A25D5" w:rsidP="009A25D5">
            <w:pPr>
              <w:spacing w:line="240" w:lineRule="auto"/>
              <w:jc w:val="center"/>
              <w:rPr>
                <w:sz w:val="6"/>
                <w:szCs w:val="6"/>
              </w:rPr>
            </w:pPr>
          </w:p>
        </w:tc>
      </w:tr>
      <w:tr w:rsidR="009A25D5">
        <w:tblPrEx>
          <w:tblCellMar>
            <w:left w:w="71" w:type="dxa"/>
            <w:right w:w="71" w:type="dxa"/>
          </w:tblCellMar>
        </w:tblPrEx>
        <w:trPr>
          <w:cantSplit/>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A25D5" w:rsidRPr="009A25D5" w:rsidRDefault="009A25D5" w:rsidP="009A25D5">
            <w:pPr>
              <w:spacing w:line="240" w:lineRule="auto"/>
              <w:jc w:val="center"/>
              <w:rPr>
                <w:sz w:val="16"/>
                <w:szCs w:val="16"/>
              </w:rPr>
            </w:pPr>
            <w:r>
              <w:rPr>
                <w:sz w:val="16"/>
                <w:szCs w:val="16"/>
              </w:rPr>
              <w:t>Referatsinformationen</w:t>
            </w:r>
          </w:p>
        </w:tc>
      </w:tr>
      <w:tr w:rsidR="00EA089B">
        <w:tblPrEx>
          <w:tblCellMar>
            <w:left w:w="71" w:type="dxa"/>
            <w:right w:w="71" w:type="dxa"/>
          </w:tblCellMar>
        </w:tblPrEx>
        <w:trPr>
          <w:cantSplit/>
          <w:trHeight w:val="567"/>
        </w:trPr>
        <w:tc>
          <w:tcPr>
            <w:tcW w:w="1562" w:type="pct"/>
            <w:tcBorders>
              <w:top w:val="single" w:sz="4" w:space="0" w:color="auto"/>
              <w:left w:val="single" w:sz="4" w:space="0" w:color="auto"/>
              <w:bottom w:val="single" w:sz="4" w:space="0" w:color="auto"/>
              <w:right w:val="single" w:sz="4" w:space="0" w:color="auto"/>
            </w:tcBorders>
            <w:shd w:val="clear" w:color="auto" w:fill="D9D9D9"/>
            <w:vAlign w:val="center"/>
          </w:tcPr>
          <w:p w:rsidR="00EA089B" w:rsidRPr="001F3421" w:rsidRDefault="00EA089B" w:rsidP="00234010">
            <w:pPr>
              <w:spacing w:before="60" w:line="240" w:lineRule="auto"/>
              <w:rPr>
                <w:sz w:val="20"/>
              </w:rPr>
            </w:pPr>
            <w:r w:rsidRPr="001F3421">
              <w:rPr>
                <w:sz w:val="20"/>
              </w:rPr>
              <w:t>Referats</w:t>
            </w:r>
            <w:r>
              <w:rPr>
                <w:sz w:val="20"/>
              </w:rPr>
              <w:softHyphen/>
            </w:r>
            <w:r w:rsidRPr="001F3421">
              <w:rPr>
                <w:sz w:val="20"/>
              </w:rPr>
              <w:t>leiter/in</w:t>
            </w:r>
          </w:p>
        </w:tc>
        <w:tc>
          <w:tcPr>
            <w:tcW w:w="3438" w:type="pct"/>
            <w:tcBorders>
              <w:top w:val="single" w:sz="4" w:space="0" w:color="auto"/>
              <w:left w:val="single" w:sz="4" w:space="0" w:color="auto"/>
              <w:bottom w:val="single" w:sz="4" w:space="0" w:color="auto"/>
              <w:right w:val="single" w:sz="4" w:space="0" w:color="auto"/>
            </w:tcBorders>
            <w:vAlign w:val="center"/>
          </w:tcPr>
          <w:p w:rsidR="00EA089B" w:rsidRPr="001F3421" w:rsidRDefault="003364FD" w:rsidP="00706712">
            <w:pPr>
              <w:spacing w:line="240" w:lineRule="auto"/>
              <w:rPr>
                <w:sz w:val="20"/>
              </w:rPr>
            </w:pPr>
            <w:bookmarkStart w:id="9" w:name="rl"/>
            <w:bookmarkEnd w:id="9"/>
            <w:proofErr w:type="spellStart"/>
            <w:r>
              <w:rPr>
                <w:sz w:val="20"/>
              </w:rPr>
              <w:t>MinR</w:t>
            </w:r>
            <w:proofErr w:type="spellEnd"/>
            <w:r>
              <w:rPr>
                <w:sz w:val="20"/>
              </w:rPr>
              <w:t xml:space="preserve"> Ulmen (-3210)</w:t>
            </w:r>
          </w:p>
        </w:tc>
      </w:tr>
      <w:tr w:rsidR="00EA089B">
        <w:tblPrEx>
          <w:tblCellMar>
            <w:left w:w="71" w:type="dxa"/>
            <w:right w:w="71" w:type="dxa"/>
          </w:tblCellMar>
        </w:tblPrEx>
        <w:trPr>
          <w:cantSplit/>
          <w:trHeight w:val="567"/>
        </w:trPr>
        <w:tc>
          <w:tcPr>
            <w:tcW w:w="1562" w:type="pct"/>
            <w:tcBorders>
              <w:top w:val="single" w:sz="4" w:space="0" w:color="auto"/>
              <w:left w:val="single" w:sz="4" w:space="0" w:color="auto"/>
              <w:bottom w:val="single" w:sz="4" w:space="0" w:color="auto"/>
              <w:right w:val="single" w:sz="4" w:space="0" w:color="auto"/>
            </w:tcBorders>
            <w:shd w:val="clear" w:color="auto" w:fill="D9D9D9"/>
            <w:vAlign w:val="center"/>
          </w:tcPr>
          <w:p w:rsidR="00EA089B" w:rsidRPr="001F3421" w:rsidRDefault="00EA089B" w:rsidP="00234010">
            <w:pPr>
              <w:spacing w:before="60" w:line="240" w:lineRule="auto"/>
              <w:rPr>
                <w:sz w:val="20"/>
              </w:rPr>
            </w:pPr>
            <w:r w:rsidRPr="001F3421">
              <w:rPr>
                <w:sz w:val="20"/>
              </w:rPr>
              <w:t>Bearbei</w:t>
            </w:r>
            <w:r>
              <w:rPr>
                <w:sz w:val="20"/>
              </w:rPr>
              <w:softHyphen/>
            </w:r>
            <w:r w:rsidRPr="001F3421">
              <w:rPr>
                <w:sz w:val="20"/>
              </w:rPr>
              <w:t>ter/in</w:t>
            </w:r>
          </w:p>
        </w:tc>
        <w:tc>
          <w:tcPr>
            <w:tcW w:w="3438" w:type="pct"/>
            <w:tcBorders>
              <w:top w:val="single" w:sz="4" w:space="0" w:color="auto"/>
              <w:left w:val="single" w:sz="4" w:space="0" w:color="auto"/>
              <w:bottom w:val="single" w:sz="4" w:space="0" w:color="auto"/>
              <w:right w:val="single" w:sz="4" w:space="0" w:color="auto"/>
            </w:tcBorders>
            <w:vAlign w:val="center"/>
          </w:tcPr>
          <w:p w:rsidR="00EA089B" w:rsidRPr="001F3421" w:rsidRDefault="003364FD" w:rsidP="00706712">
            <w:pPr>
              <w:spacing w:line="240" w:lineRule="auto"/>
              <w:rPr>
                <w:sz w:val="20"/>
              </w:rPr>
            </w:pPr>
            <w:bookmarkStart w:id="10" w:name="sb"/>
            <w:bookmarkEnd w:id="10"/>
            <w:r>
              <w:rPr>
                <w:sz w:val="20"/>
              </w:rPr>
              <w:t>RD Bender (-3528)</w:t>
            </w:r>
          </w:p>
        </w:tc>
      </w:tr>
      <w:tr w:rsidR="00EA089B">
        <w:tblPrEx>
          <w:tblCellMar>
            <w:left w:w="71" w:type="dxa"/>
            <w:right w:w="71" w:type="dxa"/>
          </w:tblCellMar>
        </w:tblPrEx>
        <w:trPr>
          <w:cantSplit/>
          <w:trHeight w:val="510"/>
        </w:trPr>
        <w:tc>
          <w:tcPr>
            <w:tcW w:w="1562" w:type="pct"/>
            <w:tcBorders>
              <w:top w:val="single" w:sz="4" w:space="0" w:color="auto"/>
              <w:left w:val="single" w:sz="4" w:space="0" w:color="auto"/>
              <w:bottom w:val="single" w:sz="4" w:space="0" w:color="auto"/>
              <w:right w:val="single" w:sz="4" w:space="0" w:color="auto"/>
            </w:tcBorders>
            <w:shd w:val="clear" w:color="auto" w:fill="D9D9D9"/>
            <w:vAlign w:val="center"/>
          </w:tcPr>
          <w:p w:rsidR="00EA089B" w:rsidRPr="001F3421" w:rsidRDefault="00ED329B" w:rsidP="00234010">
            <w:pPr>
              <w:spacing w:before="60" w:line="240" w:lineRule="auto"/>
              <w:rPr>
                <w:sz w:val="20"/>
              </w:rPr>
            </w:pPr>
            <w:r w:rsidRPr="001F3421">
              <w:rPr>
                <w:sz w:val="20"/>
              </w:rPr>
              <w:t>Mit</w:t>
            </w:r>
            <w:r>
              <w:rPr>
                <w:sz w:val="20"/>
              </w:rPr>
              <w:softHyphen/>
              <w:t>zeichnung</w:t>
            </w:r>
          </w:p>
        </w:tc>
        <w:tc>
          <w:tcPr>
            <w:tcW w:w="3438" w:type="pct"/>
            <w:tcBorders>
              <w:top w:val="single" w:sz="4" w:space="0" w:color="auto"/>
              <w:left w:val="single" w:sz="4" w:space="0" w:color="auto"/>
              <w:bottom w:val="single" w:sz="4" w:space="0" w:color="auto"/>
              <w:right w:val="single" w:sz="4" w:space="0" w:color="auto"/>
            </w:tcBorders>
            <w:vAlign w:val="center"/>
          </w:tcPr>
          <w:p w:rsidR="00EA089B" w:rsidRPr="001F3421" w:rsidRDefault="00130C08" w:rsidP="00706712">
            <w:pPr>
              <w:spacing w:line="240" w:lineRule="auto"/>
              <w:rPr>
                <w:sz w:val="20"/>
              </w:rPr>
            </w:pPr>
            <w:bookmarkStart w:id="11" w:name="MitzReferate"/>
            <w:bookmarkEnd w:id="11"/>
            <w:r>
              <w:rPr>
                <w:sz w:val="20"/>
              </w:rPr>
              <w:t>VIB2</w:t>
            </w:r>
          </w:p>
        </w:tc>
      </w:tr>
      <w:tr w:rsidR="00EA089B">
        <w:trPr>
          <w:cantSplit/>
          <w:trHeight w:val="510"/>
        </w:trPr>
        <w:tc>
          <w:tcPr>
            <w:tcW w:w="1562" w:type="pct"/>
            <w:tcBorders>
              <w:top w:val="single" w:sz="4" w:space="0" w:color="auto"/>
              <w:left w:val="single" w:sz="4" w:space="0" w:color="auto"/>
              <w:bottom w:val="single" w:sz="4" w:space="0" w:color="auto"/>
              <w:right w:val="single" w:sz="4" w:space="0" w:color="auto"/>
            </w:tcBorders>
            <w:shd w:val="clear" w:color="auto" w:fill="D9D9D9"/>
            <w:vAlign w:val="center"/>
          </w:tcPr>
          <w:p w:rsidR="00EA089B" w:rsidRPr="001F3421" w:rsidRDefault="0063223A" w:rsidP="00234010">
            <w:pPr>
              <w:spacing w:before="60" w:line="240" w:lineRule="auto"/>
              <w:rPr>
                <w:sz w:val="20"/>
              </w:rPr>
            </w:pPr>
            <w:r>
              <w:rPr>
                <w:sz w:val="20"/>
              </w:rPr>
              <w:t xml:space="preserve">Referat und </w:t>
            </w:r>
            <w:r w:rsidR="00EA089B" w:rsidRPr="001F3421">
              <w:rPr>
                <w:sz w:val="20"/>
              </w:rPr>
              <w:t>AZ</w:t>
            </w:r>
          </w:p>
        </w:tc>
        <w:tc>
          <w:tcPr>
            <w:tcW w:w="3438" w:type="pct"/>
            <w:tcBorders>
              <w:top w:val="single" w:sz="4" w:space="0" w:color="auto"/>
              <w:left w:val="single" w:sz="4" w:space="0" w:color="auto"/>
              <w:bottom w:val="single" w:sz="4" w:space="0" w:color="auto"/>
              <w:right w:val="single" w:sz="4" w:space="0" w:color="auto"/>
            </w:tcBorders>
            <w:vAlign w:val="center"/>
          </w:tcPr>
          <w:p w:rsidR="00EA089B" w:rsidRPr="001F3421" w:rsidRDefault="003364FD" w:rsidP="00706712">
            <w:pPr>
              <w:spacing w:line="240" w:lineRule="auto"/>
              <w:rPr>
                <w:sz w:val="20"/>
              </w:rPr>
            </w:pPr>
            <w:bookmarkStart w:id="12" w:name="az"/>
            <w:bookmarkEnd w:id="12"/>
            <w:r>
              <w:rPr>
                <w:sz w:val="20"/>
              </w:rPr>
              <w:t>VIA2 - 160300</w:t>
            </w:r>
          </w:p>
        </w:tc>
      </w:tr>
    </w:tbl>
    <w:p w:rsidR="00086F21" w:rsidRDefault="00086F21" w:rsidP="00C8208B">
      <w:pPr>
        <w:spacing w:line="240" w:lineRule="auto"/>
      </w:pPr>
    </w:p>
    <w:p w:rsidR="006E42CE" w:rsidRDefault="006E42CE" w:rsidP="00C8208B">
      <w:pPr>
        <w:spacing w:line="240" w:lineRule="auto"/>
      </w:pPr>
      <w:r>
        <w:t>Die Staatssekretär</w:t>
      </w:r>
      <w:r w:rsidR="00126C0D">
        <w:t>in</w:t>
      </w:r>
      <w:r w:rsidR="00870C1F">
        <w:t>nen</w:t>
      </w:r>
      <w:r w:rsidR="00126C0D">
        <w:t xml:space="preserve"> und di</w:t>
      </w:r>
      <w:r>
        <w:t xml:space="preserve">e </w:t>
      </w:r>
      <w:r w:rsidR="00126C0D">
        <w:t xml:space="preserve">Staatssekretäre </w:t>
      </w:r>
      <w:r>
        <w:t>haben Abdruck erhalten.</w:t>
      </w:r>
      <w:bookmarkStart w:id="13" w:name="anlagen"/>
      <w:bookmarkEnd w:id="13"/>
    </w:p>
    <w:p w:rsidR="00C8208B" w:rsidRDefault="00C8208B"/>
    <w:p w:rsidR="00151CE1" w:rsidRDefault="00151CE1">
      <w:bookmarkStart w:id="14" w:name="absatz"/>
      <w:bookmarkEnd w:id="14"/>
    </w:p>
    <w:p w:rsidR="003364FD" w:rsidRDefault="003364FD" w:rsidP="004D003E">
      <w:pPr>
        <w:pStyle w:val="Ueberschr"/>
        <w:spacing w:before="100" w:beforeAutospacing="1" w:after="100" w:afterAutospacing="1"/>
      </w:pPr>
      <w:r>
        <w:t>I.</w:t>
      </w:r>
      <w:r>
        <w:tab/>
        <w:t>Votum</w:t>
      </w:r>
    </w:p>
    <w:p w:rsidR="003364FD" w:rsidRDefault="003364FD" w:rsidP="004D003E">
      <w:pPr>
        <w:spacing w:before="100" w:beforeAutospacing="1" w:after="100" w:afterAutospacing="1"/>
      </w:pPr>
      <w:r>
        <w:t>Es wird vorgeschlagen, dem Kabinett den anliegenden Gesetzentwurf zur Änderung des Informationsweiterverwendungsgesetzes (IWG)</w:t>
      </w:r>
      <w:r w:rsidR="004D003E">
        <w:t xml:space="preserve"> zur Entscheidung</w:t>
      </w:r>
      <w:r>
        <w:t xml:space="preserve"> vorzulegen.</w:t>
      </w:r>
    </w:p>
    <w:p w:rsidR="003364FD" w:rsidRDefault="003364FD" w:rsidP="004D003E">
      <w:pPr>
        <w:pStyle w:val="Ueberschr"/>
        <w:spacing w:before="100" w:beforeAutospacing="1" w:after="100" w:afterAutospacing="1"/>
      </w:pPr>
      <w:r>
        <w:t>II.</w:t>
      </w:r>
      <w:r>
        <w:tab/>
        <w:t>Sachverhalt</w:t>
      </w:r>
    </w:p>
    <w:p w:rsidR="003364FD" w:rsidRDefault="003364FD" w:rsidP="004D003E">
      <w:pPr>
        <w:spacing w:before="100" w:beforeAutospacing="1" w:after="100" w:afterAutospacing="1"/>
      </w:pPr>
      <w:r>
        <w:t>Das geltende IWG dient der Umsetzung der EU-Richtlinie zur Weiterverwendung von Informationen des öffentlichen Sektors (Public-</w:t>
      </w:r>
      <w:proofErr w:type="spellStart"/>
      <w:r>
        <w:t>Sector</w:t>
      </w:r>
      <w:proofErr w:type="spellEnd"/>
      <w:r>
        <w:t xml:space="preserve">-Information (PSI)-Richtlinie). Die Richtlinie zielt darauf ab, dass </w:t>
      </w:r>
      <w:r w:rsidRPr="004D003E">
        <w:rPr>
          <w:b/>
        </w:rPr>
        <w:t>zugängliche staatliche Informationen</w:t>
      </w:r>
      <w:r>
        <w:t xml:space="preserve"> </w:t>
      </w:r>
      <w:r w:rsidR="00F04A57">
        <w:t xml:space="preserve">insbesondere für kommerzielle Zwecke </w:t>
      </w:r>
      <w:r w:rsidR="00F04A57" w:rsidRPr="004D003E">
        <w:rPr>
          <w:b/>
        </w:rPr>
        <w:t>weiterverwendet</w:t>
      </w:r>
      <w:r w:rsidR="00F04A57">
        <w:t xml:space="preserve"> werden können,</w:t>
      </w:r>
      <w:r>
        <w:t xml:space="preserve"> etwa um Informationsdienstleistungen in der digitalen Welt anzubieten.</w:t>
      </w:r>
      <w:r w:rsidR="00F04A57">
        <w:t xml:space="preserve"> Von besonderer Bedeutung sind hier etwa </w:t>
      </w:r>
      <w:proofErr w:type="spellStart"/>
      <w:r w:rsidR="00F04A57">
        <w:t>Geodaten</w:t>
      </w:r>
      <w:proofErr w:type="spellEnd"/>
      <w:r w:rsidR="00F04A57">
        <w:t>, Erdbeobachtungs- und Umweltdaten, Verkehrsinformationen, Statistikdaten, Unternehmensdaten und Rechtsinformationen.</w:t>
      </w:r>
    </w:p>
    <w:p w:rsidR="00F04A57" w:rsidRDefault="00F04A57" w:rsidP="004D003E">
      <w:pPr>
        <w:spacing w:before="100" w:beforeAutospacing="1" w:after="100" w:afterAutospacing="1"/>
      </w:pPr>
      <w:r>
        <w:t xml:space="preserve">Die PSI-Richtlinie wurde 2013 geändert. Die Änderungen sind bis </w:t>
      </w:r>
      <w:r w:rsidRPr="004D003E">
        <w:rPr>
          <w:b/>
        </w:rPr>
        <w:t xml:space="preserve">Juli 2015 </w:t>
      </w:r>
      <w:r>
        <w:t xml:space="preserve">in deutsches Recht </w:t>
      </w:r>
      <w:r w:rsidRPr="004D003E">
        <w:rPr>
          <w:b/>
        </w:rPr>
        <w:t>umzusetzen</w:t>
      </w:r>
      <w:r>
        <w:t>. Der vorliegende Gesetzentwurf orientiert sich eng an den geänderten Vorgaben, und zwar wie folgt:</w:t>
      </w:r>
    </w:p>
    <w:p w:rsidR="00F04A57" w:rsidRDefault="00BB3D32" w:rsidP="004D003E">
      <w:pPr>
        <w:pStyle w:val="Listenabsatz"/>
        <w:numPr>
          <w:ilvl w:val="0"/>
          <w:numId w:val="1"/>
        </w:numPr>
        <w:spacing w:before="100" w:beforeAutospacing="1" w:after="100" w:afterAutospacing="1"/>
      </w:pPr>
      <w:r>
        <w:lastRenderedPageBreak/>
        <w:t>Zukünftig soll ein grundsätzliches Recht auf Weiterverwendung aller Informationen gelten, die in den Anwendungsbereich des Gesetzes fallen (bisher steht dies im Ermessen der jeweiligen öffentlichen Stellen).</w:t>
      </w:r>
    </w:p>
    <w:p w:rsidR="00BB3D32" w:rsidRDefault="00BB3D32" w:rsidP="004D003E">
      <w:pPr>
        <w:pStyle w:val="Listenabsatz"/>
        <w:numPr>
          <w:ilvl w:val="0"/>
          <w:numId w:val="1"/>
        </w:numPr>
        <w:spacing w:before="100" w:beforeAutospacing="1" w:after="100" w:afterAutospacing="1"/>
      </w:pPr>
      <w:r>
        <w:t>Der Anwendungsbereich wird auf Bi</w:t>
      </w:r>
      <w:r w:rsidR="000F2E6E">
        <w:t>b</w:t>
      </w:r>
      <w:r>
        <w:t>liotheken, Museen und Archive ausgeweitet.</w:t>
      </w:r>
    </w:p>
    <w:p w:rsidR="009C6BBA" w:rsidRDefault="00BB3D32" w:rsidP="009C6BBA">
      <w:pPr>
        <w:pStyle w:val="Listenabsatz"/>
        <w:numPr>
          <w:ilvl w:val="0"/>
          <w:numId w:val="1"/>
        </w:numPr>
        <w:spacing w:before="100" w:beforeAutospacing="1" w:after="100" w:afterAutospacing="1"/>
      </w:pPr>
      <w:r>
        <w:t>Die Grundsätze für Entgelte, die öffentliche Stellen für die Weiterverwendung verlangen können</w:t>
      </w:r>
      <w:r w:rsidR="00130C08">
        <w:t xml:space="preserve"> sowie die Transparenzverpflichtungen zur Bestimmung dieser Entgelte werden präzisiert.</w:t>
      </w:r>
    </w:p>
    <w:p w:rsidR="009C6BBA" w:rsidRDefault="009C6BBA" w:rsidP="009C6BBA">
      <w:pPr>
        <w:spacing w:before="100" w:beforeAutospacing="1" w:after="100" w:afterAutospacing="1"/>
        <w:ind w:left="360"/>
      </w:pPr>
      <w:r w:rsidRPr="009C6BBA">
        <w:t xml:space="preserve">Darüber hinaus trägt der Gesetzentwurf Bedenken seitens der Europäischen Kommission Rechnung. Es wird klargestellt, dass die Weiterverwendung für kommerzielle und nicht-kommerzielle Zwecke geregelt wird. Die </w:t>
      </w:r>
      <w:r>
        <w:t xml:space="preserve">bisherige </w:t>
      </w:r>
      <w:r w:rsidRPr="009C6BBA">
        <w:t>Beschränkung auf EU-Bürger wird aufgehoben.</w:t>
      </w:r>
      <w:r w:rsidR="00353ADE">
        <w:t xml:space="preserve"> Das IWG erhält zudem eine Regelung, nach welcher öffentliche Stellen Metadaten der betreffenden Informationen auf einem nationalen Datenportal bereitstellen.</w:t>
      </w:r>
    </w:p>
    <w:p w:rsidR="003364FD" w:rsidRDefault="003364FD" w:rsidP="004D003E">
      <w:pPr>
        <w:pStyle w:val="Ueberschr"/>
        <w:spacing w:before="100" w:beforeAutospacing="1" w:after="100" w:afterAutospacing="1"/>
      </w:pPr>
      <w:r>
        <w:t>III.</w:t>
      </w:r>
      <w:r>
        <w:tab/>
        <w:t>Stellungnahme</w:t>
      </w:r>
    </w:p>
    <w:p w:rsidR="003364FD" w:rsidRDefault="00130C08" w:rsidP="004D003E">
      <w:pPr>
        <w:spacing w:before="100" w:beforeAutospacing="1" w:after="100" w:afterAutospacing="1"/>
      </w:pPr>
      <w:r w:rsidRPr="00130C08">
        <w:t xml:space="preserve">Die Weiterverwendung von Informationen des öffentlichen Sektors (PSI) ist ein wesentlicher Teil der europäischen </w:t>
      </w:r>
      <w:r w:rsidRPr="004D003E">
        <w:rPr>
          <w:b/>
        </w:rPr>
        <w:t>Open-Data-Politik</w:t>
      </w:r>
      <w:r>
        <w:t xml:space="preserve"> und</w:t>
      </w:r>
      <w:r w:rsidRPr="00130C08">
        <w:t xml:space="preserve"> für die Wirtschaft – insbesondere die digitale Wirtschaft – von erheblichem Interesse. Das gilt umso mehr, als die Richtlinie zukünftig einen Anspruch auf Weiterverwendung gewährt. Die EU-Kommission schätzt den wirtschaftlichen Nutzen aus PSI-Anwendungen in der EU aufgrund einer Studie von 2008 in einer Größenordnung von ca. 140 Mrd. € jährlich, wobei der größte Teil auf die Verwendung von </w:t>
      </w:r>
      <w:proofErr w:type="spellStart"/>
      <w:r w:rsidRPr="00130C08">
        <w:t>Geodaten</w:t>
      </w:r>
      <w:proofErr w:type="spellEnd"/>
      <w:r w:rsidRPr="00130C08">
        <w:t xml:space="preserve"> zurückgeht.</w:t>
      </w:r>
    </w:p>
    <w:p w:rsidR="00130C08" w:rsidRDefault="00130C08" w:rsidP="004D003E">
      <w:pPr>
        <w:spacing w:before="100" w:beforeAutospacing="1" w:after="100" w:afterAutospacing="1"/>
      </w:pPr>
      <w:r>
        <w:t xml:space="preserve">Über den Gesetzentwurf besteht </w:t>
      </w:r>
      <w:r w:rsidRPr="004D003E">
        <w:rPr>
          <w:b/>
        </w:rPr>
        <w:t>Einvernehmen mit den Ressorts</w:t>
      </w:r>
      <w:r>
        <w:t xml:space="preserve">. Im Rahmen der Anhörung der beteiligten Kreise wurde </w:t>
      </w:r>
      <w:r w:rsidR="004D003E">
        <w:t>im Wesentlichen</w:t>
      </w:r>
      <w:r>
        <w:t xml:space="preserve"> gefordert</w:t>
      </w:r>
      <w:r w:rsidR="004F460A">
        <w:t>,</w:t>
      </w:r>
      <w:r>
        <w:t xml:space="preserve"> die Weiterverwendung stärker zu befördern. </w:t>
      </w:r>
      <w:r w:rsidR="004F460A">
        <w:t>Dies ist Gegenstand des Open-Data-Aktionsplanes der Bundesregierung.</w:t>
      </w:r>
    </w:p>
    <w:p w:rsidR="00C10EAC" w:rsidRDefault="00C10EAC" w:rsidP="004D003E">
      <w:pPr>
        <w:spacing w:before="100" w:beforeAutospacing="1" w:after="100" w:afterAutospacing="1"/>
        <w:rPr>
          <w:u w:val="single"/>
        </w:rPr>
      </w:pPr>
      <w:r w:rsidRPr="00C10EAC">
        <w:rPr>
          <w:u w:val="single"/>
        </w:rPr>
        <w:t xml:space="preserve">IV. Gesprächselemente für die </w:t>
      </w:r>
      <w:r>
        <w:rPr>
          <w:u w:val="single"/>
        </w:rPr>
        <w:t>Besprechung</w:t>
      </w:r>
      <w:r w:rsidRPr="00C10EAC">
        <w:rPr>
          <w:u w:val="single"/>
        </w:rPr>
        <w:t xml:space="preserve"> der beamteten Staatssekretäre am 09. Februar 2015</w:t>
      </w:r>
    </w:p>
    <w:p w:rsidR="00C10EAC" w:rsidRPr="00C10EAC" w:rsidRDefault="00C10EAC" w:rsidP="00C10EAC">
      <w:pPr>
        <w:pStyle w:val="Listenabsatz"/>
        <w:numPr>
          <w:ilvl w:val="0"/>
          <w:numId w:val="2"/>
        </w:numPr>
        <w:spacing w:before="100" w:beforeAutospacing="1" w:after="100" w:afterAutospacing="1"/>
        <w:rPr>
          <w:u w:val="single"/>
        </w:rPr>
      </w:pPr>
      <w:r>
        <w:lastRenderedPageBreak/>
        <w:t>Der Gesetzentwurf zur Änderung des Informationsweiterverwendungsgesetzes dient der Umsetzung entsprechender EU-Vorgaben der „Public-</w:t>
      </w:r>
      <w:proofErr w:type="spellStart"/>
      <w:r>
        <w:t>Sector</w:t>
      </w:r>
      <w:proofErr w:type="spellEnd"/>
      <w:r>
        <w:t>-Information-Richtlinie“.</w:t>
      </w:r>
    </w:p>
    <w:p w:rsidR="00C10EAC" w:rsidRPr="00C10EAC" w:rsidRDefault="00C10EAC" w:rsidP="00C10EAC">
      <w:pPr>
        <w:pStyle w:val="Listenabsatz"/>
        <w:numPr>
          <w:ilvl w:val="0"/>
          <w:numId w:val="2"/>
        </w:numPr>
        <w:spacing w:before="100" w:beforeAutospacing="1" w:after="100" w:afterAutospacing="1"/>
        <w:rPr>
          <w:u w:val="single"/>
        </w:rPr>
      </w:pPr>
      <w:r>
        <w:t>Das IWG besteht seit 2006; nachdem die Richtlinie 2013 geändert wurde, muss nun auch das IWG angepasst werden.</w:t>
      </w:r>
    </w:p>
    <w:p w:rsidR="00C10EAC" w:rsidRPr="00C10EAC" w:rsidRDefault="00C10EAC" w:rsidP="00C10EAC">
      <w:pPr>
        <w:pStyle w:val="Listenabsatz"/>
        <w:numPr>
          <w:ilvl w:val="0"/>
          <w:numId w:val="2"/>
        </w:numPr>
        <w:spacing w:before="100" w:beforeAutospacing="1" w:after="100" w:afterAutospacing="1"/>
        <w:rPr>
          <w:u w:val="single"/>
        </w:rPr>
      </w:pPr>
      <w:r>
        <w:t>Die Neuregelung führt dazu, dass in der Regel Informationen, die nach den Informationsfreiheitsregelungen zugänglich gemacht werden, besonders für kommerzielle Zwecke ohne Weiteres weiterverwendet werden dürfen.</w:t>
      </w:r>
    </w:p>
    <w:p w:rsidR="00C10EAC" w:rsidRPr="003918C5" w:rsidRDefault="00C10EAC" w:rsidP="00C10EAC">
      <w:pPr>
        <w:pStyle w:val="Listenabsatz"/>
        <w:numPr>
          <w:ilvl w:val="0"/>
          <w:numId w:val="2"/>
        </w:numPr>
        <w:spacing w:before="100" w:beforeAutospacing="1" w:after="100" w:afterAutospacing="1"/>
        <w:rPr>
          <w:u w:val="single"/>
        </w:rPr>
      </w:pPr>
      <w:r>
        <w:t>Das Gesetz spielt bei einer Vielzahl kommerziell verwertbarer Informationen</w:t>
      </w:r>
      <w:r w:rsidR="003918C5">
        <w:t>, die sich</w:t>
      </w:r>
      <w:r>
        <w:t xml:space="preserve"> in den Händen staatlicher Einrichtungen</w:t>
      </w:r>
      <w:r w:rsidR="003918C5">
        <w:t xml:space="preserve"> befinden eine wichtige Rolle.</w:t>
      </w:r>
    </w:p>
    <w:p w:rsidR="003918C5" w:rsidRPr="00386002" w:rsidRDefault="003918C5" w:rsidP="00C10EAC">
      <w:pPr>
        <w:pStyle w:val="Listenabsatz"/>
        <w:numPr>
          <w:ilvl w:val="0"/>
          <w:numId w:val="2"/>
        </w:numPr>
        <w:spacing w:before="100" w:beforeAutospacing="1" w:after="100" w:afterAutospacing="1"/>
        <w:rPr>
          <w:u w:val="single"/>
        </w:rPr>
      </w:pPr>
      <w:r>
        <w:t>Zu nennen</w:t>
      </w:r>
      <w:r w:rsidR="00386002">
        <w:t xml:space="preserve"> sind beispielhaft Geoinformationen, Rechtsinformationen, aber auch Verkehrs- und Statistikinformationen.</w:t>
      </w:r>
    </w:p>
    <w:p w:rsidR="00386002" w:rsidRPr="00386002" w:rsidRDefault="00386002" w:rsidP="00C10EAC">
      <w:pPr>
        <w:pStyle w:val="Listenabsatz"/>
        <w:numPr>
          <w:ilvl w:val="0"/>
          <w:numId w:val="2"/>
        </w:numPr>
        <w:spacing w:before="100" w:beforeAutospacing="1" w:after="100" w:afterAutospacing="1"/>
        <w:rPr>
          <w:u w:val="single"/>
        </w:rPr>
      </w:pPr>
      <w:r>
        <w:t>Die Richtlinie ist bis Mitte Juli 2015 umzusetzen.</w:t>
      </w:r>
    </w:p>
    <w:p w:rsidR="00386002" w:rsidRPr="00C10EAC" w:rsidRDefault="00386002" w:rsidP="00C10EAC">
      <w:pPr>
        <w:pStyle w:val="Listenabsatz"/>
        <w:numPr>
          <w:ilvl w:val="0"/>
          <w:numId w:val="2"/>
        </w:numPr>
        <w:spacing w:before="100" w:beforeAutospacing="1" w:after="100" w:afterAutospacing="1"/>
        <w:rPr>
          <w:u w:val="single"/>
        </w:rPr>
      </w:pPr>
      <w:r>
        <w:t>Mit dem Kabinettbeschluss am 11. Februar 2015 über den Gesetzentwurf ist gewährleistet, dass die interessierten Kreise rechtzeitig mit Ablauf der Umsetzungsfrist in Deutschland von ihrem Recht auf Weiterverwendung der Informationen Gebrauch machen können.</w:t>
      </w:r>
    </w:p>
    <w:p w:rsidR="00C10EAC" w:rsidRPr="00C10EAC" w:rsidRDefault="00C10EAC" w:rsidP="00C10EAC">
      <w:pPr>
        <w:spacing w:before="100" w:beforeAutospacing="1" w:after="100" w:afterAutospacing="1"/>
        <w:ind w:left="360"/>
        <w:rPr>
          <w:u w:val="single"/>
        </w:rPr>
      </w:pPr>
    </w:p>
    <w:p w:rsidR="00933715" w:rsidRDefault="00933715"/>
    <w:sectPr w:rsidR="00933715" w:rsidSect="00647FBD">
      <w:headerReference w:type="default" r:id="rId8"/>
      <w:footerReference w:type="default" r:id="rId9"/>
      <w:footerReference w:type="first" r:id="rId10"/>
      <w:pgSz w:w="11906" w:h="16838" w:code="9"/>
      <w:pgMar w:top="964" w:right="1134" w:bottom="1134" w:left="1418" w:header="964"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4FD" w:rsidRDefault="003364FD">
      <w:pPr>
        <w:spacing w:line="240" w:lineRule="auto"/>
      </w:pPr>
      <w:r>
        <w:separator/>
      </w:r>
    </w:p>
  </w:endnote>
  <w:endnote w:type="continuationSeparator" w:id="0">
    <w:p w:rsidR="003364FD" w:rsidRDefault="00336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8B" w:rsidRDefault="004A728B" w:rsidP="00933715">
    <w:pPr>
      <w:framePr w:hSpace="142" w:wrap="notBeside" w:vAnchor="page" w:hAnchor="page" w:x="8619" w:y="15764"/>
    </w:pPr>
    <w:r>
      <w:fldChar w:fldCharType="begin"/>
    </w:r>
    <w:r>
      <w:instrText xml:space="preserve"> IF </w:instrText>
    </w:r>
    <w:r>
      <w:fldChar w:fldCharType="begin"/>
    </w:r>
    <w:r>
      <w:instrText xml:space="preserve"> PAGE </w:instrText>
    </w:r>
    <w:r>
      <w:fldChar w:fldCharType="separate"/>
    </w:r>
    <w:r w:rsidR="001827AB">
      <w:rPr>
        <w:noProof/>
      </w:rPr>
      <w:instrText>2</w:instrText>
    </w:r>
    <w:r>
      <w:fldChar w:fldCharType="end"/>
    </w:r>
    <w:r>
      <w:instrText xml:space="preserve"> &lt; </w:instrText>
    </w:r>
    <w:fldSimple w:instr=" NUMPAGES ">
      <w:r w:rsidR="001827AB">
        <w:rPr>
          <w:noProof/>
        </w:rPr>
        <w:instrText>3</w:instrText>
      </w:r>
    </w:fldSimple>
    <w:r>
      <w:instrText xml:space="preserve"> „</w:instrText>
    </w:r>
    <w:r>
      <w:rPr>
        <w:b/>
      </w:rPr>
      <w:instrText>. . .</w:instrText>
    </w:r>
    <w:r>
      <w:instrText xml:space="preserve">“ „“ </w:instrText>
    </w:r>
    <w:r w:rsidR="001827AB">
      <w:fldChar w:fldCharType="separate"/>
    </w:r>
    <w:r w:rsidR="001827AB">
      <w:rPr>
        <w:b/>
        <w:noProof/>
      </w:rPr>
      <w:t>. . .</w:t>
    </w:r>
    <w:r>
      <w:fldChar w:fldCharType="end"/>
    </w:r>
  </w:p>
  <w:p w:rsidR="004A728B" w:rsidRDefault="004A728B">
    <w:pPr>
      <w:pStyle w:val="Fuzeile"/>
    </w:pPr>
    <w:r>
      <w:rPr>
        <w:vanish/>
        <w:sz w:val="14"/>
      </w:rPr>
      <w:fldChar w:fldCharType="begin"/>
    </w:r>
    <w:r>
      <w:rPr>
        <w:vanish/>
        <w:sz w:val="14"/>
      </w:rPr>
      <w:instrText xml:space="preserve"> FILENAME \p  \* MERGEFORMAT </w:instrText>
    </w:r>
    <w:r>
      <w:rPr>
        <w:vanish/>
        <w:sz w:val="14"/>
      </w:rPr>
      <w:fldChar w:fldCharType="separate"/>
    </w:r>
    <w:r w:rsidR="003364FD">
      <w:rPr>
        <w:noProof/>
        <w:vanish/>
        <w:sz w:val="14"/>
      </w:rPr>
      <w:t>Dokument2</w:t>
    </w:r>
    <w:r>
      <w:rPr>
        <w:vanish/>
        <w:sz w:val="14"/>
      </w:rPr>
      <w:fldChar w:fldCharType="end"/>
    </w:r>
    <w:r>
      <w:rPr>
        <w:vanish/>
        <w:sz w:val="14"/>
      </w:rPr>
      <w:t xml:space="preserve"> </w:t>
    </w:r>
    <w:r>
      <w:rPr>
        <w:vanish/>
        <w:sz w:val="14"/>
      </w:rPr>
      <w:fldChar w:fldCharType="begin"/>
    </w:r>
    <w:r>
      <w:rPr>
        <w:vanish/>
        <w:sz w:val="14"/>
      </w:rPr>
      <w:instrText>DATE  \* MERGEFORMAT</w:instrText>
    </w:r>
    <w:r>
      <w:rPr>
        <w:vanish/>
        <w:sz w:val="14"/>
      </w:rPr>
      <w:fldChar w:fldCharType="separate"/>
    </w:r>
    <w:r w:rsidR="001827AB">
      <w:rPr>
        <w:noProof/>
        <w:vanish/>
        <w:sz w:val="14"/>
      </w:rPr>
      <w:t>11.01.2016</w:t>
    </w:r>
    <w:r>
      <w:rPr>
        <w:vanish/>
        <w:sz w:val="14"/>
      </w:rPr>
      <w:fldChar w:fldCharType="end"/>
    </w:r>
    <w:r>
      <w:rPr>
        <w:vanish/>
        <w:sz w:val="14"/>
      </w:rPr>
      <w:t xml:space="preserve">  </w:t>
    </w:r>
    <w:r>
      <w:rPr>
        <w:vanish/>
        <w:sz w:val="14"/>
      </w:rPr>
      <w:fldChar w:fldCharType="begin"/>
    </w:r>
    <w:r>
      <w:rPr>
        <w:vanish/>
        <w:sz w:val="14"/>
      </w:rPr>
      <w:instrText xml:space="preserve"> USERINITIALS  \* MERGEFORMAT </w:instrText>
    </w:r>
    <w:r>
      <w:rPr>
        <w:vanish/>
        <w:sz w:val="14"/>
      </w:rPr>
      <w:fldChar w:fldCharType="separate"/>
    </w:r>
    <w:r w:rsidR="003364FD">
      <w:rPr>
        <w:noProof/>
        <w:vanish/>
        <w:sz w:val="14"/>
      </w:rPr>
      <w:t>BRV</w:t>
    </w:r>
    <w:r>
      <w:rPr>
        <w:vanish/>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8B" w:rsidRDefault="004A728B" w:rsidP="00933715">
    <w:pPr>
      <w:framePr w:hSpace="142" w:wrap="notBeside" w:vAnchor="page" w:hAnchor="page" w:x="8619" w:y="15764"/>
    </w:pPr>
    <w:r>
      <w:fldChar w:fldCharType="begin"/>
    </w:r>
    <w:r>
      <w:instrText xml:space="preserve"> IF </w:instrText>
    </w:r>
    <w:r>
      <w:fldChar w:fldCharType="begin"/>
    </w:r>
    <w:r>
      <w:instrText xml:space="preserve"> PAGE </w:instrText>
    </w:r>
    <w:r>
      <w:fldChar w:fldCharType="separate"/>
    </w:r>
    <w:r w:rsidR="001827AB">
      <w:rPr>
        <w:noProof/>
      </w:rPr>
      <w:instrText>1</w:instrText>
    </w:r>
    <w:r>
      <w:fldChar w:fldCharType="end"/>
    </w:r>
    <w:r>
      <w:instrText xml:space="preserve"> &lt; </w:instrText>
    </w:r>
    <w:fldSimple w:instr=" NUMPAGES ">
      <w:r w:rsidR="001827AB">
        <w:rPr>
          <w:noProof/>
        </w:rPr>
        <w:instrText>3</w:instrText>
      </w:r>
    </w:fldSimple>
    <w:r>
      <w:instrText xml:space="preserve"> „</w:instrText>
    </w:r>
    <w:r>
      <w:rPr>
        <w:b/>
      </w:rPr>
      <w:instrText>. . .</w:instrText>
    </w:r>
    <w:r>
      <w:instrText xml:space="preserve">“ „“ </w:instrText>
    </w:r>
    <w:r w:rsidR="001827AB">
      <w:fldChar w:fldCharType="separate"/>
    </w:r>
    <w:r w:rsidR="001827AB">
      <w:rPr>
        <w:b/>
        <w:noProof/>
      </w:rPr>
      <w:t>. . .</w:t>
    </w:r>
    <w:r>
      <w:fldChar w:fldCharType="end"/>
    </w:r>
  </w:p>
  <w:p w:rsidR="004A728B" w:rsidRDefault="004A728B">
    <w:pPr>
      <w:pStyle w:val="Fuzeile"/>
    </w:pPr>
    <w:r>
      <w:rPr>
        <w:vanish/>
        <w:sz w:val="14"/>
      </w:rPr>
      <w:fldChar w:fldCharType="begin"/>
    </w:r>
    <w:r>
      <w:rPr>
        <w:vanish/>
        <w:sz w:val="14"/>
      </w:rPr>
      <w:instrText xml:space="preserve"> FILENAME \p  \* MERGEFORMAT </w:instrText>
    </w:r>
    <w:r>
      <w:rPr>
        <w:vanish/>
        <w:sz w:val="14"/>
      </w:rPr>
      <w:fldChar w:fldCharType="separate"/>
    </w:r>
    <w:r w:rsidR="003364FD">
      <w:rPr>
        <w:noProof/>
        <w:vanish/>
        <w:sz w:val="14"/>
      </w:rPr>
      <w:t>Dokument2</w:t>
    </w:r>
    <w:r>
      <w:rPr>
        <w:vanish/>
        <w:sz w:val="14"/>
      </w:rPr>
      <w:fldChar w:fldCharType="end"/>
    </w:r>
    <w:r>
      <w:rPr>
        <w:vanish/>
        <w:sz w:val="14"/>
      </w:rPr>
      <w:t xml:space="preserve"> </w:t>
    </w:r>
    <w:r>
      <w:rPr>
        <w:vanish/>
        <w:sz w:val="14"/>
      </w:rPr>
      <w:fldChar w:fldCharType="begin"/>
    </w:r>
    <w:r>
      <w:rPr>
        <w:vanish/>
        <w:sz w:val="14"/>
      </w:rPr>
      <w:instrText>DATE  \* MERGEFORMAT</w:instrText>
    </w:r>
    <w:r>
      <w:rPr>
        <w:vanish/>
        <w:sz w:val="14"/>
      </w:rPr>
      <w:fldChar w:fldCharType="separate"/>
    </w:r>
    <w:r w:rsidR="001827AB">
      <w:rPr>
        <w:noProof/>
        <w:vanish/>
        <w:sz w:val="14"/>
      </w:rPr>
      <w:t>11.01.2016</w:t>
    </w:r>
    <w:r>
      <w:rPr>
        <w:vanish/>
        <w:sz w:val="14"/>
      </w:rPr>
      <w:fldChar w:fldCharType="end"/>
    </w:r>
    <w:r>
      <w:rPr>
        <w:vanish/>
        <w:sz w:val="14"/>
      </w:rPr>
      <w:t xml:space="preserve">  </w:t>
    </w:r>
    <w:r>
      <w:rPr>
        <w:vanish/>
        <w:sz w:val="14"/>
      </w:rPr>
      <w:fldChar w:fldCharType="begin"/>
    </w:r>
    <w:r>
      <w:rPr>
        <w:vanish/>
        <w:sz w:val="14"/>
      </w:rPr>
      <w:instrText xml:space="preserve"> USERINITIALS  \* MERGEFORMAT </w:instrText>
    </w:r>
    <w:r>
      <w:rPr>
        <w:vanish/>
        <w:sz w:val="14"/>
      </w:rPr>
      <w:fldChar w:fldCharType="separate"/>
    </w:r>
    <w:r w:rsidR="003364FD">
      <w:rPr>
        <w:noProof/>
        <w:vanish/>
        <w:sz w:val="14"/>
      </w:rPr>
      <w:t>BRV</w:t>
    </w:r>
    <w:r>
      <w:rPr>
        <w:vanish/>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4FD" w:rsidRDefault="003364FD">
      <w:pPr>
        <w:spacing w:line="240" w:lineRule="auto"/>
      </w:pPr>
      <w:r>
        <w:separator/>
      </w:r>
    </w:p>
  </w:footnote>
  <w:footnote w:type="continuationSeparator" w:id="0">
    <w:p w:rsidR="003364FD" w:rsidRDefault="003364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8B" w:rsidRDefault="004A728B" w:rsidP="00047CA7">
    <w:pPr>
      <w:pStyle w:val="Kopfzeile"/>
      <w:spacing w:after="240"/>
      <w:jc w:val="center"/>
    </w:pPr>
    <w:r>
      <w:t xml:space="preserve">- </w:t>
    </w:r>
    <w:r>
      <w:rPr>
        <w:rStyle w:val="Seitenzahl"/>
      </w:rPr>
      <w:fldChar w:fldCharType="begin"/>
    </w:r>
    <w:r>
      <w:rPr>
        <w:rStyle w:val="Seitenzahl"/>
      </w:rPr>
      <w:instrText xml:space="preserve"> PAGE </w:instrText>
    </w:r>
    <w:r>
      <w:rPr>
        <w:rStyle w:val="Seitenzahl"/>
      </w:rPr>
      <w:fldChar w:fldCharType="separate"/>
    </w:r>
    <w:r w:rsidR="001827AB">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01FF"/>
    <w:multiLevelType w:val="hybridMultilevel"/>
    <w:tmpl w:val="6180E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AB96186"/>
    <w:multiLevelType w:val="hybridMultilevel"/>
    <w:tmpl w:val="261C4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BMWI22"/>
  </w:docVars>
  <w:rsids>
    <w:rsidRoot w:val="003364FD"/>
    <w:rsid w:val="00005344"/>
    <w:rsid w:val="00044FFF"/>
    <w:rsid w:val="00047CA7"/>
    <w:rsid w:val="00055C8D"/>
    <w:rsid w:val="000639BA"/>
    <w:rsid w:val="00086F21"/>
    <w:rsid w:val="000947D2"/>
    <w:rsid w:val="000B69AA"/>
    <w:rsid w:val="000F2E6E"/>
    <w:rsid w:val="000F3536"/>
    <w:rsid w:val="00126C0D"/>
    <w:rsid w:val="00126D6A"/>
    <w:rsid w:val="00130C08"/>
    <w:rsid w:val="00151CE1"/>
    <w:rsid w:val="00181DA8"/>
    <w:rsid w:val="001827AB"/>
    <w:rsid w:val="00182D68"/>
    <w:rsid w:val="00186FEF"/>
    <w:rsid w:val="0018747D"/>
    <w:rsid w:val="00192F78"/>
    <w:rsid w:val="001B2276"/>
    <w:rsid w:val="0020643C"/>
    <w:rsid w:val="0023167A"/>
    <w:rsid w:val="00234010"/>
    <w:rsid w:val="002439A0"/>
    <w:rsid w:val="002F0908"/>
    <w:rsid w:val="00334A30"/>
    <w:rsid w:val="00335718"/>
    <w:rsid w:val="003364FD"/>
    <w:rsid w:val="00353ADE"/>
    <w:rsid w:val="00381F71"/>
    <w:rsid w:val="00384ABC"/>
    <w:rsid w:val="00386002"/>
    <w:rsid w:val="003918C5"/>
    <w:rsid w:val="003934C8"/>
    <w:rsid w:val="003A76E8"/>
    <w:rsid w:val="003D1F1A"/>
    <w:rsid w:val="003F2DB6"/>
    <w:rsid w:val="00433C78"/>
    <w:rsid w:val="00495FC8"/>
    <w:rsid w:val="004A728B"/>
    <w:rsid w:val="004C5E0C"/>
    <w:rsid w:val="004C5E1F"/>
    <w:rsid w:val="004D003E"/>
    <w:rsid w:val="004D6018"/>
    <w:rsid w:val="004F460A"/>
    <w:rsid w:val="00506090"/>
    <w:rsid w:val="00524343"/>
    <w:rsid w:val="00526B93"/>
    <w:rsid w:val="00545648"/>
    <w:rsid w:val="005A17EB"/>
    <w:rsid w:val="005A24F5"/>
    <w:rsid w:val="005C57E1"/>
    <w:rsid w:val="0063223A"/>
    <w:rsid w:val="006431F3"/>
    <w:rsid w:val="00647FBD"/>
    <w:rsid w:val="006530FB"/>
    <w:rsid w:val="00653660"/>
    <w:rsid w:val="00656992"/>
    <w:rsid w:val="006D1D0B"/>
    <w:rsid w:val="006D1DE7"/>
    <w:rsid w:val="006D2DB8"/>
    <w:rsid w:val="006E42CE"/>
    <w:rsid w:val="00703A3E"/>
    <w:rsid w:val="00706712"/>
    <w:rsid w:val="0074477D"/>
    <w:rsid w:val="0079374F"/>
    <w:rsid w:val="007A13BD"/>
    <w:rsid w:val="007B41F4"/>
    <w:rsid w:val="00817745"/>
    <w:rsid w:val="00823E3D"/>
    <w:rsid w:val="008317D8"/>
    <w:rsid w:val="008572EA"/>
    <w:rsid w:val="00870C1F"/>
    <w:rsid w:val="008A278B"/>
    <w:rsid w:val="008D25E8"/>
    <w:rsid w:val="008F2634"/>
    <w:rsid w:val="00933715"/>
    <w:rsid w:val="00974073"/>
    <w:rsid w:val="0099417C"/>
    <w:rsid w:val="009A25D5"/>
    <w:rsid w:val="009A4E8F"/>
    <w:rsid w:val="009A533B"/>
    <w:rsid w:val="009B79A8"/>
    <w:rsid w:val="009C6BBA"/>
    <w:rsid w:val="00A37541"/>
    <w:rsid w:val="00A51741"/>
    <w:rsid w:val="00A923D5"/>
    <w:rsid w:val="00AC6C4D"/>
    <w:rsid w:val="00B2639E"/>
    <w:rsid w:val="00BB3D32"/>
    <w:rsid w:val="00BC1659"/>
    <w:rsid w:val="00C10EAC"/>
    <w:rsid w:val="00C228C0"/>
    <w:rsid w:val="00C46F01"/>
    <w:rsid w:val="00C518A7"/>
    <w:rsid w:val="00C51E01"/>
    <w:rsid w:val="00C65A0F"/>
    <w:rsid w:val="00C8208B"/>
    <w:rsid w:val="00CA6222"/>
    <w:rsid w:val="00CC39C1"/>
    <w:rsid w:val="00D50704"/>
    <w:rsid w:val="00D73F10"/>
    <w:rsid w:val="00DE3435"/>
    <w:rsid w:val="00DF765C"/>
    <w:rsid w:val="00E656BC"/>
    <w:rsid w:val="00EA089B"/>
    <w:rsid w:val="00EB1F57"/>
    <w:rsid w:val="00EC1BA7"/>
    <w:rsid w:val="00ED329B"/>
    <w:rsid w:val="00F04A57"/>
    <w:rsid w:val="00F26E92"/>
    <w:rsid w:val="00F3241E"/>
    <w:rsid w:val="00FA0F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FBD"/>
    <w:pPr>
      <w:spacing w:line="360" w:lineRule="auto"/>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next w:val="Standard"/>
    <w:rsid w:val="00A923D5"/>
    <w:pPr>
      <w:tabs>
        <w:tab w:val="left" w:pos="567"/>
      </w:tabs>
      <w:spacing w:before="240"/>
      <w:ind w:left="567" w:hanging="567"/>
    </w:pPr>
  </w:style>
  <w:style w:type="paragraph" w:styleId="Kopfzeile">
    <w:name w:val="header"/>
    <w:basedOn w:val="Standard"/>
    <w:rsid w:val="00047CA7"/>
    <w:pPr>
      <w:tabs>
        <w:tab w:val="center" w:pos="4536"/>
        <w:tab w:val="right" w:pos="9072"/>
      </w:tabs>
    </w:pPr>
  </w:style>
  <w:style w:type="paragraph" w:styleId="Fuzeile">
    <w:name w:val="footer"/>
    <w:basedOn w:val="Standard"/>
    <w:rsid w:val="00047CA7"/>
    <w:pPr>
      <w:tabs>
        <w:tab w:val="center" w:pos="4536"/>
        <w:tab w:val="right" w:pos="9072"/>
      </w:tabs>
    </w:pPr>
  </w:style>
  <w:style w:type="character" w:styleId="Seitenzahl">
    <w:name w:val="page number"/>
    <w:basedOn w:val="Absatz-Standardschriftart"/>
    <w:rsid w:val="00047CA7"/>
  </w:style>
  <w:style w:type="paragraph" w:customStyle="1" w:styleId="Ueberschr">
    <w:name w:val="Ueberschr"/>
    <w:basedOn w:val="Standard"/>
    <w:next w:val="Standard"/>
    <w:rsid w:val="00C228C0"/>
    <w:pPr>
      <w:tabs>
        <w:tab w:val="left" w:pos="425"/>
      </w:tabs>
      <w:ind w:left="425" w:hanging="425"/>
    </w:pPr>
    <w:rPr>
      <w:u w:val="single"/>
    </w:rPr>
  </w:style>
  <w:style w:type="paragraph" w:customStyle="1" w:styleId="GesprElementeStandard">
    <w:name w:val="GesprElementeStandard"/>
    <w:basedOn w:val="Standard"/>
    <w:rsid w:val="00D73F10"/>
    <w:rPr>
      <w:sz w:val="32"/>
    </w:rPr>
  </w:style>
  <w:style w:type="paragraph" w:customStyle="1" w:styleId="GesprElementeUeberschr">
    <w:name w:val="GesprElementeUeberschr"/>
    <w:basedOn w:val="Ueberschr"/>
    <w:next w:val="GesprElementeStandard"/>
    <w:rsid w:val="00D73F10"/>
    <w:rPr>
      <w:sz w:val="32"/>
    </w:rPr>
  </w:style>
  <w:style w:type="paragraph" w:styleId="Sprechblasentext">
    <w:name w:val="Balloon Text"/>
    <w:basedOn w:val="Standard"/>
    <w:link w:val="SprechblasentextZchn"/>
    <w:uiPriority w:val="99"/>
    <w:semiHidden/>
    <w:unhideWhenUsed/>
    <w:rsid w:val="00F3241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41E"/>
    <w:rPr>
      <w:rFonts w:ascii="Tahoma" w:hAnsi="Tahoma" w:cs="Tahoma"/>
      <w:sz w:val="16"/>
      <w:szCs w:val="16"/>
    </w:rPr>
  </w:style>
  <w:style w:type="paragraph" w:styleId="Listenabsatz">
    <w:name w:val="List Paragraph"/>
    <w:basedOn w:val="Standard"/>
    <w:uiPriority w:val="34"/>
    <w:qFormat/>
    <w:rsid w:val="00F04A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FBD"/>
    <w:pPr>
      <w:spacing w:line="360" w:lineRule="auto"/>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next w:val="Standard"/>
    <w:rsid w:val="00A923D5"/>
    <w:pPr>
      <w:tabs>
        <w:tab w:val="left" w:pos="567"/>
      </w:tabs>
      <w:spacing w:before="240"/>
      <w:ind w:left="567" w:hanging="567"/>
    </w:pPr>
  </w:style>
  <w:style w:type="paragraph" w:styleId="Kopfzeile">
    <w:name w:val="header"/>
    <w:basedOn w:val="Standard"/>
    <w:rsid w:val="00047CA7"/>
    <w:pPr>
      <w:tabs>
        <w:tab w:val="center" w:pos="4536"/>
        <w:tab w:val="right" w:pos="9072"/>
      </w:tabs>
    </w:pPr>
  </w:style>
  <w:style w:type="paragraph" w:styleId="Fuzeile">
    <w:name w:val="footer"/>
    <w:basedOn w:val="Standard"/>
    <w:rsid w:val="00047CA7"/>
    <w:pPr>
      <w:tabs>
        <w:tab w:val="center" w:pos="4536"/>
        <w:tab w:val="right" w:pos="9072"/>
      </w:tabs>
    </w:pPr>
  </w:style>
  <w:style w:type="character" w:styleId="Seitenzahl">
    <w:name w:val="page number"/>
    <w:basedOn w:val="Absatz-Standardschriftart"/>
    <w:rsid w:val="00047CA7"/>
  </w:style>
  <w:style w:type="paragraph" w:customStyle="1" w:styleId="Ueberschr">
    <w:name w:val="Ueberschr"/>
    <w:basedOn w:val="Standard"/>
    <w:next w:val="Standard"/>
    <w:rsid w:val="00C228C0"/>
    <w:pPr>
      <w:tabs>
        <w:tab w:val="left" w:pos="425"/>
      </w:tabs>
      <w:ind w:left="425" w:hanging="425"/>
    </w:pPr>
    <w:rPr>
      <w:u w:val="single"/>
    </w:rPr>
  </w:style>
  <w:style w:type="paragraph" w:customStyle="1" w:styleId="GesprElementeStandard">
    <w:name w:val="GesprElementeStandard"/>
    <w:basedOn w:val="Standard"/>
    <w:rsid w:val="00D73F10"/>
    <w:rPr>
      <w:sz w:val="32"/>
    </w:rPr>
  </w:style>
  <w:style w:type="paragraph" w:customStyle="1" w:styleId="GesprElementeUeberschr">
    <w:name w:val="GesprElementeUeberschr"/>
    <w:basedOn w:val="Ueberschr"/>
    <w:next w:val="GesprElementeStandard"/>
    <w:rsid w:val="00D73F10"/>
    <w:rPr>
      <w:sz w:val="32"/>
    </w:rPr>
  </w:style>
  <w:style w:type="paragraph" w:styleId="Sprechblasentext">
    <w:name w:val="Balloon Text"/>
    <w:basedOn w:val="Standard"/>
    <w:link w:val="SprechblasentextZchn"/>
    <w:uiPriority w:val="99"/>
    <w:semiHidden/>
    <w:unhideWhenUsed/>
    <w:rsid w:val="00F3241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41E"/>
    <w:rPr>
      <w:rFonts w:ascii="Tahoma" w:hAnsi="Tahoma" w:cs="Tahoma"/>
      <w:sz w:val="16"/>
      <w:szCs w:val="16"/>
    </w:rPr>
  </w:style>
  <w:style w:type="paragraph" w:styleId="Listenabsatz">
    <w:name w:val="List Paragraph"/>
    <w:basedOn w:val="Standard"/>
    <w:uiPriority w:val="34"/>
    <w:qFormat/>
    <w:rsid w:val="00F04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MWi\BMWi22.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BMWi22.dotm</Template>
  <TotalTime>0</TotalTime>
  <Pages>3</Pages>
  <Words>521</Words>
  <Characters>3840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Kabinettvorlage</vt:lpstr>
    </vt:vector>
  </TitlesOfParts>
  <Company>BMWi</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Kabinettvorlage</dc:title>
  <dc:creator>Bender, Rolf, VIA8</dc:creator>
  <cp:lastModifiedBy>Bender, Rolf, VIA2</cp:lastModifiedBy>
  <cp:revision>2</cp:revision>
  <dcterms:created xsi:type="dcterms:W3CDTF">2016-01-11T09:37:00Z</dcterms:created>
  <dcterms:modified xsi:type="dcterms:W3CDTF">2016-01-11T09:37:00Z</dcterms:modified>
</cp:coreProperties>
</file>