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097" w:type="pct"/>
        <w:tblLayout w:type="fixed"/>
        <w:tblCellMar>
          <w:left w:w="70" w:type="dxa"/>
          <w:right w:w="70" w:type="dxa"/>
        </w:tblCellMar>
        <w:tblLook w:val="0000" w:firstRow="0" w:lastRow="0" w:firstColumn="0" w:lastColumn="0" w:noHBand="0" w:noVBand="0"/>
      </w:tblPr>
      <w:tblGrid>
        <w:gridCol w:w="5881"/>
      </w:tblGrid>
      <w:tr w:rsidR="00EA089B" w:rsidRPr="00141298">
        <w:trPr>
          <w:cantSplit/>
          <w:trHeight w:val="555"/>
        </w:trPr>
        <w:tc>
          <w:tcPr>
            <w:tcW w:w="5000" w:type="pct"/>
            <w:tcBorders>
              <w:top w:val="single" w:sz="4" w:space="0" w:color="auto"/>
              <w:left w:val="single" w:sz="4" w:space="0" w:color="auto"/>
              <w:right w:val="single" w:sz="4" w:space="0" w:color="auto"/>
            </w:tcBorders>
          </w:tcPr>
          <w:p w:rsidR="00EA089B" w:rsidRPr="000D108F" w:rsidRDefault="003364FD" w:rsidP="00987304">
            <w:pPr>
              <w:spacing w:before="120" w:line="240" w:lineRule="auto"/>
            </w:pPr>
            <w:bookmarkStart w:id="0" w:name="datum"/>
            <w:bookmarkStart w:id="1" w:name="_GoBack"/>
            <w:bookmarkEnd w:id="0"/>
            <w:bookmarkEnd w:id="1"/>
            <w:r>
              <w:t xml:space="preserve">Berlin, </w:t>
            </w:r>
            <w:r w:rsidR="00987304">
              <w:t>30</w:t>
            </w:r>
            <w:r>
              <w:t xml:space="preserve">. </w:t>
            </w:r>
            <w:r w:rsidR="00987304">
              <w:t>März</w:t>
            </w:r>
            <w:r w:rsidR="004F460A">
              <w:t xml:space="preserve"> 2015</w:t>
            </w:r>
          </w:p>
        </w:tc>
      </w:tr>
      <w:tr w:rsidR="00EA089B" w:rsidRPr="007A4C54">
        <w:trPr>
          <w:cantSplit/>
          <w:trHeight w:val="572"/>
        </w:trPr>
        <w:tc>
          <w:tcPr>
            <w:tcW w:w="5000" w:type="pct"/>
            <w:tcBorders>
              <w:left w:val="single" w:sz="4" w:space="0" w:color="auto"/>
              <w:right w:val="single" w:sz="4" w:space="0" w:color="auto"/>
            </w:tcBorders>
            <w:vAlign w:val="center"/>
          </w:tcPr>
          <w:p w:rsidR="00EA089B" w:rsidRPr="007A4C54" w:rsidRDefault="003364FD" w:rsidP="008317D8">
            <w:pPr>
              <w:spacing w:line="240" w:lineRule="auto"/>
              <w:rPr>
                <w:b/>
                <w:sz w:val="32"/>
                <w:szCs w:val="32"/>
              </w:rPr>
            </w:pPr>
            <w:bookmarkStart w:id="2" w:name="info"/>
            <w:bookmarkEnd w:id="2"/>
            <w:r>
              <w:rPr>
                <w:b/>
                <w:sz w:val="32"/>
                <w:szCs w:val="32"/>
              </w:rPr>
              <w:t>Kabinettvorlage (ohne Aussprache)</w:t>
            </w:r>
          </w:p>
        </w:tc>
      </w:tr>
      <w:tr w:rsidR="00EA089B" w:rsidRPr="004F6739">
        <w:trPr>
          <w:cantSplit/>
          <w:trHeight w:val="849"/>
        </w:trPr>
        <w:tc>
          <w:tcPr>
            <w:tcW w:w="5000" w:type="pct"/>
            <w:tcBorders>
              <w:left w:val="single" w:sz="4" w:space="0" w:color="auto"/>
              <w:right w:val="single" w:sz="4" w:space="0" w:color="auto"/>
            </w:tcBorders>
            <w:vAlign w:val="center"/>
          </w:tcPr>
          <w:p w:rsidR="00EA089B" w:rsidRPr="000D108F" w:rsidRDefault="00EA089B" w:rsidP="00234010">
            <w:pPr>
              <w:spacing w:line="240" w:lineRule="auto"/>
              <w:rPr>
                <w:b/>
                <w:sz w:val="28"/>
                <w:szCs w:val="28"/>
              </w:rPr>
            </w:pPr>
            <w:r>
              <w:rPr>
                <w:b/>
                <w:sz w:val="28"/>
                <w:szCs w:val="28"/>
              </w:rPr>
              <w:t>Herrn Minister</w:t>
            </w:r>
          </w:p>
          <w:p w:rsidR="00EA089B" w:rsidRPr="000D108F" w:rsidRDefault="00EA089B" w:rsidP="00234010">
            <w:pPr>
              <w:spacing w:line="240" w:lineRule="auto"/>
            </w:pPr>
            <w:r>
              <w:t>a.d.D. über PR/KR</w:t>
            </w:r>
          </w:p>
        </w:tc>
      </w:tr>
      <w:tr w:rsidR="00EA089B">
        <w:tblPrEx>
          <w:tblCellMar>
            <w:left w:w="71" w:type="dxa"/>
            <w:right w:w="71" w:type="dxa"/>
          </w:tblCellMar>
        </w:tblPrEx>
        <w:trPr>
          <w:cantSplit/>
          <w:trHeight w:val="2673"/>
        </w:trPr>
        <w:tc>
          <w:tcPr>
            <w:tcW w:w="5000" w:type="pct"/>
            <w:tcBorders>
              <w:left w:val="single" w:sz="4" w:space="0" w:color="auto"/>
              <w:right w:val="single" w:sz="4" w:space="0" w:color="auto"/>
            </w:tcBorders>
            <w:vAlign w:val="center"/>
          </w:tcPr>
          <w:p w:rsidR="00EA089B" w:rsidRPr="009B79A8" w:rsidRDefault="009B79A8" w:rsidP="008317D8">
            <w:pPr>
              <w:spacing w:before="60" w:after="60" w:line="240" w:lineRule="auto"/>
              <w:rPr>
                <w:b/>
                <w:u w:val="single"/>
              </w:rPr>
            </w:pPr>
            <w:r w:rsidRPr="009B79A8">
              <w:rPr>
                <w:b/>
                <w:u w:val="single"/>
              </w:rPr>
              <w:t>Betr</w:t>
            </w:r>
            <w:r w:rsidR="00381F71">
              <w:rPr>
                <w:b/>
                <w:u w:val="single"/>
              </w:rPr>
              <w:t>.</w:t>
            </w:r>
            <w:r w:rsidRPr="009B79A8">
              <w:rPr>
                <w:b/>
                <w:u w:val="single"/>
              </w:rPr>
              <w:t>:</w:t>
            </w:r>
          </w:p>
          <w:p w:rsidR="009B79A8" w:rsidRPr="005E54D0" w:rsidRDefault="003364FD" w:rsidP="008317D8">
            <w:pPr>
              <w:spacing w:line="240" w:lineRule="auto"/>
              <w:rPr>
                <w:b/>
              </w:rPr>
            </w:pPr>
            <w:bookmarkStart w:id="3" w:name="betr"/>
            <w:bookmarkEnd w:id="3"/>
            <w:r>
              <w:rPr>
                <w:b/>
              </w:rPr>
              <w:t>Entwurf eines Ersten Gesetzes zur Änderung des Informationsweiterverwendungsgesetzes (IWG)</w:t>
            </w:r>
            <w:r w:rsidR="00987304">
              <w:rPr>
                <w:b/>
              </w:rPr>
              <w:t xml:space="preserve"> – Beschluss einer Gegenäußerung der Bundesregierung zur Stellungnahme des Bundesrates</w:t>
            </w:r>
          </w:p>
        </w:tc>
      </w:tr>
      <w:tr w:rsidR="00EA089B" w:rsidRPr="00EA21B3">
        <w:tblPrEx>
          <w:tblCellMar>
            <w:left w:w="71" w:type="dxa"/>
            <w:right w:w="71" w:type="dxa"/>
          </w:tblCellMar>
        </w:tblPrEx>
        <w:trPr>
          <w:cantSplit/>
          <w:trHeight w:val="917"/>
        </w:trPr>
        <w:tc>
          <w:tcPr>
            <w:tcW w:w="5000" w:type="pct"/>
            <w:tcBorders>
              <w:left w:val="single" w:sz="4" w:space="0" w:color="auto"/>
              <w:bottom w:val="single" w:sz="4" w:space="0" w:color="auto"/>
              <w:right w:val="single" w:sz="4" w:space="0" w:color="auto"/>
            </w:tcBorders>
            <w:vAlign w:val="center"/>
          </w:tcPr>
          <w:p w:rsidR="00EA089B" w:rsidRPr="000D108F" w:rsidRDefault="003364FD" w:rsidP="004F460A">
            <w:pPr>
              <w:spacing w:before="60" w:line="240" w:lineRule="auto"/>
              <w:rPr>
                <w:b/>
              </w:rPr>
            </w:pPr>
            <w:bookmarkStart w:id="4" w:name="termin"/>
            <w:bookmarkEnd w:id="4"/>
            <w:r>
              <w:rPr>
                <w:b/>
              </w:rPr>
              <w:t>Für die Kabinettsitzung am: 1</w:t>
            </w:r>
            <w:r w:rsidR="00987304">
              <w:rPr>
                <w:b/>
              </w:rPr>
              <w:t>5</w:t>
            </w:r>
            <w:r>
              <w:rPr>
                <w:b/>
              </w:rPr>
              <w:t>.</w:t>
            </w:r>
            <w:r w:rsidR="00987304">
              <w:rPr>
                <w:b/>
              </w:rPr>
              <w:t>04</w:t>
            </w:r>
            <w:r>
              <w:rPr>
                <w:b/>
              </w:rPr>
              <w:t>.201</w:t>
            </w:r>
            <w:r w:rsidR="004F460A">
              <w:rPr>
                <w:b/>
              </w:rPr>
              <w:t>5</w:t>
            </w:r>
          </w:p>
        </w:tc>
      </w:tr>
    </w:tbl>
    <w:tbl>
      <w:tblPr>
        <w:tblpPr w:vertAnchor="page" w:horzAnchor="margin" w:tblpXSpec="right" w:tblpY="958"/>
        <w:tblW w:w="1792" w:type="pct"/>
        <w:tblLayout w:type="fixed"/>
        <w:tblCellMar>
          <w:left w:w="70" w:type="dxa"/>
          <w:right w:w="70" w:type="dxa"/>
        </w:tblCellMar>
        <w:tblLook w:val="0000" w:firstRow="0" w:lastRow="0" w:firstColumn="0" w:lastColumn="0" w:noHBand="0" w:noVBand="0"/>
      </w:tblPr>
      <w:tblGrid>
        <w:gridCol w:w="1063"/>
        <w:gridCol w:w="2340"/>
      </w:tblGrid>
      <w:tr w:rsidR="009A25D5">
        <w:trPr>
          <w:cantSplit/>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A25D5" w:rsidRPr="009A25D5" w:rsidRDefault="009A25D5" w:rsidP="009A25D5">
            <w:pPr>
              <w:spacing w:line="240" w:lineRule="auto"/>
              <w:jc w:val="center"/>
              <w:rPr>
                <w:sz w:val="16"/>
                <w:szCs w:val="16"/>
              </w:rPr>
            </w:pPr>
            <w:r>
              <w:rPr>
                <w:sz w:val="16"/>
                <w:szCs w:val="16"/>
              </w:rPr>
              <w:t>Vom Leitungsbereich auszufüllen</w:t>
            </w:r>
          </w:p>
        </w:tc>
      </w:tr>
      <w:tr w:rsidR="00EA089B">
        <w:trPr>
          <w:cantSplit/>
          <w:trHeight w:val="454"/>
        </w:trPr>
        <w:tc>
          <w:tcPr>
            <w:tcW w:w="1562" w:type="pct"/>
            <w:tcBorders>
              <w:top w:val="single" w:sz="4" w:space="0" w:color="auto"/>
              <w:left w:val="single" w:sz="4" w:space="0" w:color="auto"/>
              <w:bottom w:val="single" w:sz="4" w:space="0" w:color="auto"/>
              <w:right w:val="single" w:sz="4" w:space="0" w:color="auto"/>
            </w:tcBorders>
            <w:shd w:val="clear" w:color="auto" w:fill="D9D9D9"/>
            <w:vAlign w:val="center"/>
          </w:tcPr>
          <w:p w:rsidR="00EA089B" w:rsidRPr="001F3421" w:rsidRDefault="00EA089B" w:rsidP="00234010">
            <w:pPr>
              <w:spacing w:line="240" w:lineRule="auto"/>
              <w:rPr>
                <w:sz w:val="20"/>
              </w:rPr>
            </w:pPr>
            <w:r w:rsidRPr="001F3421">
              <w:rPr>
                <w:sz w:val="20"/>
              </w:rPr>
              <w:t>TGB-Nr.</w:t>
            </w:r>
          </w:p>
        </w:tc>
        <w:tc>
          <w:tcPr>
            <w:tcW w:w="3438" w:type="pct"/>
            <w:tcBorders>
              <w:top w:val="single" w:sz="4" w:space="0" w:color="auto"/>
              <w:left w:val="single" w:sz="4" w:space="0" w:color="auto"/>
              <w:bottom w:val="single" w:sz="4" w:space="0" w:color="auto"/>
              <w:right w:val="single" w:sz="4" w:space="0" w:color="auto"/>
            </w:tcBorders>
            <w:shd w:val="clear" w:color="auto" w:fill="D9D9D9"/>
            <w:vAlign w:val="center"/>
          </w:tcPr>
          <w:p w:rsidR="00EA089B" w:rsidRPr="001F3421" w:rsidRDefault="00EA089B" w:rsidP="00706712">
            <w:pPr>
              <w:spacing w:line="240" w:lineRule="auto"/>
              <w:rPr>
                <w:sz w:val="20"/>
              </w:rPr>
            </w:pPr>
            <w:bookmarkStart w:id="5" w:name="TGB"/>
            <w:bookmarkEnd w:id="5"/>
          </w:p>
        </w:tc>
      </w:tr>
      <w:tr w:rsidR="00EA089B">
        <w:trPr>
          <w:cantSplit/>
          <w:trHeight w:val="454"/>
        </w:trPr>
        <w:tc>
          <w:tcPr>
            <w:tcW w:w="1562" w:type="pct"/>
            <w:tcBorders>
              <w:top w:val="single" w:sz="4" w:space="0" w:color="auto"/>
              <w:left w:val="single" w:sz="4" w:space="0" w:color="auto"/>
              <w:bottom w:val="single" w:sz="4" w:space="0" w:color="auto"/>
              <w:right w:val="single" w:sz="4" w:space="0" w:color="auto"/>
            </w:tcBorders>
            <w:shd w:val="clear" w:color="auto" w:fill="D9D9D9"/>
            <w:vAlign w:val="center"/>
          </w:tcPr>
          <w:p w:rsidR="00EA089B" w:rsidRPr="001F3421" w:rsidRDefault="00EA089B" w:rsidP="00234010">
            <w:pPr>
              <w:spacing w:line="240" w:lineRule="auto"/>
              <w:rPr>
                <w:sz w:val="20"/>
              </w:rPr>
            </w:pPr>
            <w:r w:rsidRPr="001F3421">
              <w:rPr>
                <w:sz w:val="20"/>
              </w:rPr>
              <w:t>Eingang</w:t>
            </w:r>
            <w:r w:rsidR="009A25D5">
              <w:rPr>
                <w:sz w:val="20"/>
              </w:rPr>
              <w:br/>
              <w:t>Leitung</w:t>
            </w:r>
          </w:p>
        </w:tc>
        <w:tc>
          <w:tcPr>
            <w:tcW w:w="3438" w:type="pct"/>
            <w:tcBorders>
              <w:top w:val="single" w:sz="4" w:space="0" w:color="auto"/>
              <w:left w:val="single" w:sz="4" w:space="0" w:color="auto"/>
              <w:bottom w:val="single" w:sz="4" w:space="0" w:color="auto"/>
              <w:right w:val="single" w:sz="4" w:space="0" w:color="auto"/>
            </w:tcBorders>
            <w:shd w:val="clear" w:color="auto" w:fill="D9D9D9"/>
            <w:vAlign w:val="center"/>
          </w:tcPr>
          <w:p w:rsidR="00EA089B" w:rsidRPr="001F3421" w:rsidRDefault="00EA089B" w:rsidP="00706712">
            <w:pPr>
              <w:spacing w:line="240" w:lineRule="auto"/>
              <w:rPr>
                <w:sz w:val="20"/>
              </w:rPr>
            </w:pPr>
          </w:p>
        </w:tc>
      </w:tr>
      <w:tr w:rsidR="00EA089B">
        <w:trPr>
          <w:cantSplit/>
          <w:trHeight w:val="454"/>
        </w:trPr>
        <w:tc>
          <w:tcPr>
            <w:tcW w:w="1562" w:type="pct"/>
            <w:tcBorders>
              <w:top w:val="single" w:sz="4" w:space="0" w:color="auto"/>
              <w:left w:val="single" w:sz="4" w:space="0" w:color="auto"/>
              <w:bottom w:val="single" w:sz="4" w:space="0" w:color="auto"/>
              <w:right w:val="single" w:sz="4" w:space="0" w:color="auto"/>
            </w:tcBorders>
            <w:shd w:val="clear" w:color="auto" w:fill="D9D9D9"/>
            <w:vAlign w:val="center"/>
          </w:tcPr>
          <w:p w:rsidR="00EA089B" w:rsidRPr="001F3421" w:rsidRDefault="00EA089B" w:rsidP="00234010">
            <w:pPr>
              <w:spacing w:line="240" w:lineRule="auto"/>
              <w:rPr>
                <w:sz w:val="20"/>
              </w:rPr>
            </w:pPr>
            <w:r w:rsidRPr="001F3421">
              <w:rPr>
                <w:sz w:val="20"/>
              </w:rPr>
              <w:t>V-/U-Nr.</w:t>
            </w:r>
          </w:p>
        </w:tc>
        <w:tc>
          <w:tcPr>
            <w:tcW w:w="3438" w:type="pct"/>
            <w:tcBorders>
              <w:top w:val="single" w:sz="4" w:space="0" w:color="auto"/>
              <w:left w:val="single" w:sz="4" w:space="0" w:color="auto"/>
              <w:bottom w:val="single" w:sz="4" w:space="0" w:color="auto"/>
              <w:right w:val="single" w:sz="4" w:space="0" w:color="auto"/>
            </w:tcBorders>
            <w:shd w:val="clear" w:color="auto" w:fill="D9D9D9"/>
            <w:vAlign w:val="center"/>
          </w:tcPr>
          <w:p w:rsidR="00EA089B" w:rsidRPr="001F3421" w:rsidRDefault="00EA089B" w:rsidP="00706712">
            <w:pPr>
              <w:spacing w:line="240" w:lineRule="auto"/>
              <w:rPr>
                <w:sz w:val="20"/>
              </w:rPr>
            </w:pPr>
          </w:p>
        </w:tc>
      </w:tr>
      <w:tr w:rsidR="009A25D5" w:rsidRPr="009A25D5">
        <w:trPr>
          <w:cantSplit/>
          <w:trHeight w:val="23"/>
        </w:trPr>
        <w:tc>
          <w:tcPr>
            <w:tcW w:w="5000" w:type="pct"/>
            <w:gridSpan w:val="2"/>
            <w:tcBorders>
              <w:top w:val="single" w:sz="4" w:space="0" w:color="auto"/>
              <w:bottom w:val="single" w:sz="4" w:space="0" w:color="auto"/>
            </w:tcBorders>
            <w:shd w:val="clear" w:color="auto" w:fill="auto"/>
            <w:vAlign w:val="center"/>
          </w:tcPr>
          <w:p w:rsidR="009A25D5" w:rsidRPr="009A25D5" w:rsidRDefault="009A25D5" w:rsidP="009A25D5">
            <w:pPr>
              <w:spacing w:line="240" w:lineRule="auto"/>
              <w:jc w:val="center"/>
              <w:rPr>
                <w:sz w:val="6"/>
                <w:szCs w:val="6"/>
              </w:rPr>
            </w:pPr>
          </w:p>
        </w:tc>
      </w:tr>
      <w:tr w:rsidR="009A25D5">
        <w:trPr>
          <w:cantSplit/>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A25D5" w:rsidRPr="009A25D5" w:rsidRDefault="009A25D5" w:rsidP="009A25D5">
            <w:pPr>
              <w:spacing w:line="240" w:lineRule="auto"/>
              <w:jc w:val="center"/>
              <w:rPr>
                <w:sz w:val="16"/>
                <w:szCs w:val="16"/>
              </w:rPr>
            </w:pPr>
            <w:r>
              <w:rPr>
                <w:sz w:val="16"/>
                <w:szCs w:val="16"/>
              </w:rPr>
              <w:t>Abzeichnungsleiste</w:t>
            </w:r>
          </w:p>
        </w:tc>
      </w:tr>
      <w:tr w:rsidR="00EA089B">
        <w:trPr>
          <w:cantSplit/>
          <w:trHeight w:val="567"/>
        </w:trPr>
        <w:tc>
          <w:tcPr>
            <w:tcW w:w="1562" w:type="pct"/>
            <w:tcBorders>
              <w:top w:val="single" w:sz="4" w:space="0" w:color="auto"/>
              <w:left w:val="single" w:sz="4" w:space="0" w:color="auto"/>
              <w:bottom w:val="single" w:sz="4" w:space="0" w:color="auto"/>
              <w:right w:val="single" w:sz="4" w:space="0" w:color="auto"/>
            </w:tcBorders>
            <w:shd w:val="clear" w:color="auto" w:fill="D9D9D9"/>
            <w:vAlign w:val="center"/>
          </w:tcPr>
          <w:p w:rsidR="00EA089B" w:rsidRPr="001F3421" w:rsidRDefault="00EA089B" w:rsidP="00234010">
            <w:pPr>
              <w:spacing w:before="60" w:line="240" w:lineRule="auto"/>
              <w:rPr>
                <w:sz w:val="20"/>
              </w:rPr>
            </w:pPr>
            <w:r w:rsidRPr="001F3421">
              <w:rPr>
                <w:sz w:val="20"/>
              </w:rPr>
              <w:t>St</w:t>
            </w:r>
          </w:p>
        </w:tc>
        <w:tc>
          <w:tcPr>
            <w:tcW w:w="3438" w:type="pct"/>
            <w:tcBorders>
              <w:top w:val="single" w:sz="4" w:space="0" w:color="auto"/>
              <w:left w:val="single" w:sz="4" w:space="0" w:color="auto"/>
              <w:bottom w:val="single" w:sz="4" w:space="0" w:color="auto"/>
              <w:right w:val="single" w:sz="4" w:space="0" w:color="auto"/>
            </w:tcBorders>
            <w:vAlign w:val="center"/>
          </w:tcPr>
          <w:p w:rsidR="00EA089B" w:rsidRPr="00C73F22" w:rsidRDefault="00EA089B" w:rsidP="00706712">
            <w:pPr>
              <w:spacing w:line="240" w:lineRule="auto"/>
              <w:rPr>
                <w:color w:val="FF0000"/>
                <w:sz w:val="20"/>
              </w:rPr>
            </w:pPr>
            <w:bookmarkStart w:id="6" w:name="ST"/>
            <w:bookmarkEnd w:id="6"/>
          </w:p>
        </w:tc>
      </w:tr>
      <w:tr w:rsidR="00EA089B" w:rsidRPr="00C73F22">
        <w:tblPrEx>
          <w:tblCellMar>
            <w:left w:w="71" w:type="dxa"/>
            <w:right w:w="71" w:type="dxa"/>
          </w:tblCellMar>
        </w:tblPrEx>
        <w:trPr>
          <w:cantSplit/>
          <w:trHeight w:val="567"/>
        </w:trPr>
        <w:tc>
          <w:tcPr>
            <w:tcW w:w="1562" w:type="pct"/>
            <w:tcBorders>
              <w:top w:val="single" w:sz="4" w:space="0" w:color="auto"/>
              <w:left w:val="single" w:sz="4" w:space="0" w:color="auto"/>
              <w:bottom w:val="single" w:sz="4" w:space="0" w:color="auto"/>
              <w:right w:val="single" w:sz="4" w:space="0" w:color="auto"/>
            </w:tcBorders>
            <w:shd w:val="clear" w:color="auto" w:fill="D9D9D9"/>
            <w:vAlign w:val="center"/>
          </w:tcPr>
          <w:p w:rsidR="00EA089B" w:rsidRPr="001F3421" w:rsidRDefault="00EA089B" w:rsidP="00234010">
            <w:pPr>
              <w:spacing w:before="60" w:line="240" w:lineRule="auto"/>
              <w:rPr>
                <w:sz w:val="20"/>
              </w:rPr>
            </w:pPr>
            <w:r w:rsidRPr="001F3421">
              <w:rPr>
                <w:sz w:val="20"/>
              </w:rPr>
              <w:t>AL</w:t>
            </w:r>
          </w:p>
        </w:tc>
        <w:tc>
          <w:tcPr>
            <w:tcW w:w="3438" w:type="pct"/>
            <w:tcBorders>
              <w:top w:val="single" w:sz="4" w:space="0" w:color="auto"/>
              <w:left w:val="single" w:sz="4" w:space="0" w:color="auto"/>
              <w:bottom w:val="single" w:sz="4" w:space="0" w:color="auto"/>
              <w:right w:val="single" w:sz="4" w:space="0" w:color="auto"/>
            </w:tcBorders>
            <w:vAlign w:val="center"/>
          </w:tcPr>
          <w:p w:rsidR="00EA089B" w:rsidRPr="00C73F22" w:rsidRDefault="00EA089B" w:rsidP="00706712">
            <w:pPr>
              <w:spacing w:line="240" w:lineRule="auto"/>
              <w:rPr>
                <w:color w:val="000080"/>
                <w:sz w:val="20"/>
              </w:rPr>
            </w:pPr>
            <w:bookmarkStart w:id="7" w:name="AL"/>
            <w:bookmarkEnd w:id="7"/>
          </w:p>
        </w:tc>
      </w:tr>
      <w:tr w:rsidR="00EA089B" w:rsidRPr="00C73F22">
        <w:tblPrEx>
          <w:tblCellMar>
            <w:left w:w="71" w:type="dxa"/>
            <w:right w:w="71" w:type="dxa"/>
          </w:tblCellMar>
        </w:tblPrEx>
        <w:trPr>
          <w:cantSplit/>
          <w:trHeight w:val="567"/>
        </w:trPr>
        <w:tc>
          <w:tcPr>
            <w:tcW w:w="1562" w:type="pct"/>
            <w:tcBorders>
              <w:top w:val="single" w:sz="4" w:space="0" w:color="auto"/>
              <w:left w:val="single" w:sz="4" w:space="0" w:color="auto"/>
              <w:bottom w:val="single" w:sz="4" w:space="0" w:color="auto"/>
              <w:right w:val="single" w:sz="4" w:space="0" w:color="auto"/>
            </w:tcBorders>
            <w:shd w:val="clear" w:color="auto" w:fill="D9D9D9"/>
            <w:vAlign w:val="center"/>
          </w:tcPr>
          <w:p w:rsidR="00EA089B" w:rsidRPr="001F3421" w:rsidRDefault="00EA089B" w:rsidP="00234010">
            <w:pPr>
              <w:spacing w:before="60" w:line="240" w:lineRule="auto"/>
              <w:rPr>
                <w:sz w:val="20"/>
              </w:rPr>
            </w:pPr>
            <w:r w:rsidRPr="001F3421">
              <w:rPr>
                <w:sz w:val="20"/>
              </w:rPr>
              <w:t>UAL</w:t>
            </w:r>
          </w:p>
        </w:tc>
        <w:tc>
          <w:tcPr>
            <w:tcW w:w="3438" w:type="pct"/>
            <w:tcBorders>
              <w:top w:val="single" w:sz="4" w:space="0" w:color="auto"/>
              <w:left w:val="single" w:sz="4" w:space="0" w:color="auto"/>
              <w:bottom w:val="single" w:sz="4" w:space="0" w:color="auto"/>
              <w:right w:val="single" w:sz="4" w:space="0" w:color="auto"/>
            </w:tcBorders>
            <w:vAlign w:val="center"/>
          </w:tcPr>
          <w:p w:rsidR="00EA089B" w:rsidRPr="00C73F22" w:rsidRDefault="00EA089B" w:rsidP="00706712">
            <w:pPr>
              <w:spacing w:line="240" w:lineRule="auto"/>
              <w:rPr>
                <w:color w:val="993300"/>
                <w:sz w:val="20"/>
              </w:rPr>
            </w:pPr>
            <w:bookmarkStart w:id="8" w:name="UAL"/>
            <w:bookmarkEnd w:id="8"/>
          </w:p>
        </w:tc>
      </w:tr>
      <w:tr w:rsidR="009A25D5" w:rsidRPr="009A25D5">
        <w:tblPrEx>
          <w:tblCellMar>
            <w:left w:w="71" w:type="dxa"/>
            <w:right w:w="71" w:type="dxa"/>
          </w:tblCellMar>
        </w:tblPrEx>
        <w:trPr>
          <w:cantSplit/>
          <w:trHeight w:val="23"/>
        </w:trPr>
        <w:tc>
          <w:tcPr>
            <w:tcW w:w="5000" w:type="pct"/>
            <w:gridSpan w:val="2"/>
            <w:tcBorders>
              <w:top w:val="single" w:sz="4" w:space="0" w:color="auto"/>
              <w:bottom w:val="single" w:sz="4" w:space="0" w:color="auto"/>
            </w:tcBorders>
            <w:shd w:val="clear" w:color="auto" w:fill="auto"/>
            <w:vAlign w:val="center"/>
          </w:tcPr>
          <w:p w:rsidR="009A25D5" w:rsidRPr="009A25D5" w:rsidRDefault="009A25D5" w:rsidP="009A25D5">
            <w:pPr>
              <w:spacing w:line="240" w:lineRule="auto"/>
              <w:jc w:val="center"/>
              <w:rPr>
                <w:sz w:val="6"/>
                <w:szCs w:val="6"/>
              </w:rPr>
            </w:pPr>
          </w:p>
        </w:tc>
      </w:tr>
      <w:tr w:rsidR="009A25D5">
        <w:tblPrEx>
          <w:tblCellMar>
            <w:left w:w="71" w:type="dxa"/>
            <w:right w:w="71" w:type="dxa"/>
          </w:tblCellMar>
        </w:tblPrEx>
        <w:trPr>
          <w:cantSplit/>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A25D5" w:rsidRPr="009A25D5" w:rsidRDefault="009A25D5" w:rsidP="009A25D5">
            <w:pPr>
              <w:spacing w:line="240" w:lineRule="auto"/>
              <w:jc w:val="center"/>
              <w:rPr>
                <w:sz w:val="16"/>
                <w:szCs w:val="16"/>
              </w:rPr>
            </w:pPr>
            <w:r>
              <w:rPr>
                <w:sz w:val="16"/>
                <w:szCs w:val="16"/>
              </w:rPr>
              <w:t>Referatsinformationen</w:t>
            </w:r>
          </w:p>
        </w:tc>
      </w:tr>
      <w:tr w:rsidR="00EA089B">
        <w:tblPrEx>
          <w:tblCellMar>
            <w:left w:w="71" w:type="dxa"/>
            <w:right w:w="71" w:type="dxa"/>
          </w:tblCellMar>
        </w:tblPrEx>
        <w:trPr>
          <w:cantSplit/>
          <w:trHeight w:val="567"/>
        </w:trPr>
        <w:tc>
          <w:tcPr>
            <w:tcW w:w="1562" w:type="pct"/>
            <w:tcBorders>
              <w:top w:val="single" w:sz="4" w:space="0" w:color="auto"/>
              <w:left w:val="single" w:sz="4" w:space="0" w:color="auto"/>
              <w:bottom w:val="single" w:sz="4" w:space="0" w:color="auto"/>
              <w:right w:val="single" w:sz="4" w:space="0" w:color="auto"/>
            </w:tcBorders>
            <w:shd w:val="clear" w:color="auto" w:fill="D9D9D9"/>
            <w:vAlign w:val="center"/>
          </w:tcPr>
          <w:p w:rsidR="00EA089B" w:rsidRPr="001F3421" w:rsidRDefault="00EA089B" w:rsidP="00234010">
            <w:pPr>
              <w:spacing w:before="60" w:line="240" w:lineRule="auto"/>
              <w:rPr>
                <w:sz w:val="20"/>
              </w:rPr>
            </w:pPr>
            <w:r w:rsidRPr="001F3421">
              <w:rPr>
                <w:sz w:val="20"/>
              </w:rPr>
              <w:t>Referats</w:t>
            </w:r>
            <w:r>
              <w:rPr>
                <w:sz w:val="20"/>
              </w:rPr>
              <w:softHyphen/>
            </w:r>
            <w:r w:rsidRPr="001F3421">
              <w:rPr>
                <w:sz w:val="20"/>
              </w:rPr>
              <w:t>leiter/in</w:t>
            </w:r>
          </w:p>
        </w:tc>
        <w:tc>
          <w:tcPr>
            <w:tcW w:w="3438" w:type="pct"/>
            <w:tcBorders>
              <w:top w:val="single" w:sz="4" w:space="0" w:color="auto"/>
              <w:left w:val="single" w:sz="4" w:space="0" w:color="auto"/>
              <w:bottom w:val="single" w:sz="4" w:space="0" w:color="auto"/>
              <w:right w:val="single" w:sz="4" w:space="0" w:color="auto"/>
            </w:tcBorders>
            <w:vAlign w:val="center"/>
          </w:tcPr>
          <w:p w:rsidR="00EA089B" w:rsidRPr="001F3421" w:rsidRDefault="003364FD" w:rsidP="00706712">
            <w:pPr>
              <w:spacing w:line="240" w:lineRule="auto"/>
              <w:rPr>
                <w:sz w:val="20"/>
              </w:rPr>
            </w:pPr>
            <w:bookmarkStart w:id="9" w:name="rl"/>
            <w:bookmarkEnd w:id="9"/>
            <w:proofErr w:type="spellStart"/>
            <w:r>
              <w:rPr>
                <w:sz w:val="20"/>
              </w:rPr>
              <w:t>MinR</w:t>
            </w:r>
            <w:proofErr w:type="spellEnd"/>
            <w:r>
              <w:rPr>
                <w:sz w:val="20"/>
              </w:rPr>
              <w:t xml:space="preserve"> Ulmen (-3210)</w:t>
            </w:r>
          </w:p>
        </w:tc>
      </w:tr>
      <w:tr w:rsidR="00EA089B">
        <w:tblPrEx>
          <w:tblCellMar>
            <w:left w:w="71" w:type="dxa"/>
            <w:right w:w="71" w:type="dxa"/>
          </w:tblCellMar>
        </w:tblPrEx>
        <w:trPr>
          <w:cantSplit/>
          <w:trHeight w:val="567"/>
        </w:trPr>
        <w:tc>
          <w:tcPr>
            <w:tcW w:w="1562" w:type="pct"/>
            <w:tcBorders>
              <w:top w:val="single" w:sz="4" w:space="0" w:color="auto"/>
              <w:left w:val="single" w:sz="4" w:space="0" w:color="auto"/>
              <w:bottom w:val="single" w:sz="4" w:space="0" w:color="auto"/>
              <w:right w:val="single" w:sz="4" w:space="0" w:color="auto"/>
            </w:tcBorders>
            <w:shd w:val="clear" w:color="auto" w:fill="D9D9D9"/>
            <w:vAlign w:val="center"/>
          </w:tcPr>
          <w:p w:rsidR="00EA089B" w:rsidRPr="001F3421" w:rsidRDefault="00EA089B" w:rsidP="00234010">
            <w:pPr>
              <w:spacing w:before="60" w:line="240" w:lineRule="auto"/>
              <w:rPr>
                <w:sz w:val="20"/>
              </w:rPr>
            </w:pPr>
            <w:r w:rsidRPr="001F3421">
              <w:rPr>
                <w:sz w:val="20"/>
              </w:rPr>
              <w:t>Bearbei</w:t>
            </w:r>
            <w:r>
              <w:rPr>
                <w:sz w:val="20"/>
              </w:rPr>
              <w:softHyphen/>
            </w:r>
            <w:r w:rsidRPr="001F3421">
              <w:rPr>
                <w:sz w:val="20"/>
              </w:rPr>
              <w:t>ter/in</w:t>
            </w:r>
          </w:p>
        </w:tc>
        <w:tc>
          <w:tcPr>
            <w:tcW w:w="3438" w:type="pct"/>
            <w:tcBorders>
              <w:top w:val="single" w:sz="4" w:space="0" w:color="auto"/>
              <w:left w:val="single" w:sz="4" w:space="0" w:color="auto"/>
              <w:bottom w:val="single" w:sz="4" w:space="0" w:color="auto"/>
              <w:right w:val="single" w:sz="4" w:space="0" w:color="auto"/>
            </w:tcBorders>
            <w:vAlign w:val="center"/>
          </w:tcPr>
          <w:p w:rsidR="00EA089B" w:rsidRPr="001F3421" w:rsidRDefault="003364FD" w:rsidP="00706712">
            <w:pPr>
              <w:spacing w:line="240" w:lineRule="auto"/>
              <w:rPr>
                <w:sz w:val="20"/>
              </w:rPr>
            </w:pPr>
            <w:bookmarkStart w:id="10" w:name="sb"/>
            <w:bookmarkEnd w:id="10"/>
            <w:r>
              <w:rPr>
                <w:sz w:val="20"/>
              </w:rPr>
              <w:t>RD Bender (-3528)</w:t>
            </w:r>
          </w:p>
        </w:tc>
      </w:tr>
      <w:tr w:rsidR="00EA089B">
        <w:tblPrEx>
          <w:tblCellMar>
            <w:left w:w="71" w:type="dxa"/>
            <w:right w:w="71" w:type="dxa"/>
          </w:tblCellMar>
        </w:tblPrEx>
        <w:trPr>
          <w:cantSplit/>
          <w:trHeight w:val="510"/>
        </w:trPr>
        <w:tc>
          <w:tcPr>
            <w:tcW w:w="1562" w:type="pct"/>
            <w:tcBorders>
              <w:top w:val="single" w:sz="4" w:space="0" w:color="auto"/>
              <w:left w:val="single" w:sz="4" w:space="0" w:color="auto"/>
              <w:bottom w:val="single" w:sz="4" w:space="0" w:color="auto"/>
              <w:right w:val="single" w:sz="4" w:space="0" w:color="auto"/>
            </w:tcBorders>
            <w:shd w:val="clear" w:color="auto" w:fill="D9D9D9"/>
            <w:vAlign w:val="center"/>
          </w:tcPr>
          <w:p w:rsidR="00EA089B" w:rsidRPr="001F3421" w:rsidRDefault="00ED329B" w:rsidP="00234010">
            <w:pPr>
              <w:spacing w:before="60" w:line="240" w:lineRule="auto"/>
              <w:rPr>
                <w:sz w:val="20"/>
              </w:rPr>
            </w:pPr>
            <w:r w:rsidRPr="001F3421">
              <w:rPr>
                <w:sz w:val="20"/>
              </w:rPr>
              <w:t>Mit</w:t>
            </w:r>
            <w:r>
              <w:rPr>
                <w:sz w:val="20"/>
              </w:rPr>
              <w:softHyphen/>
              <w:t>zeichnung</w:t>
            </w:r>
          </w:p>
        </w:tc>
        <w:tc>
          <w:tcPr>
            <w:tcW w:w="3438" w:type="pct"/>
            <w:tcBorders>
              <w:top w:val="single" w:sz="4" w:space="0" w:color="auto"/>
              <w:left w:val="single" w:sz="4" w:space="0" w:color="auto"/>
              <w:bottom w:val="single" w:sz="4" w:space="0" w:color="auto"/>
              <w:right w:val="single" w:sz="4" w:space="0" w:color="auto"/>
            </w:tcBorders>
            <w:vAlign w:val="center"/>
          </w:tcPr>
          <w:p w:rsidR="00EA089B" w:rsidRPr="001F3421" w:rsidRDefault="00130C08" w:rsidP="00706712">
            <w:pPr>
              <w:spacing w:line="240" w:lineRule="auto"/>
              <w:rPr>
                <w:sz w:val="20"/>
              </w:rPr>
            </w:pPr>
            <w:bookmarkStart w:id="11" w:name="MitzReferate"/>
            <w:bookmarkEnd w:id="11"/>
            <w:r>
              <w:rPr>
                <w:sz w:val="20"/>
              </w:rPr>
              <w:t>VIB2</w:t>
            </w:r>
          </w:p>
        </w:tc>
      </w:tr>
      <w:tr w:rsidR="00EA089B">
        <w:trPr>
          <w:cantSplit/>
          <w:trHeight w:val="510"/>
        </w:trPr>
        <w:tc>
          <w:tcPr>
            <w:tcW w:w="1562" w:type="pct"/>
            <w:tcBorders>
              <w:top w:val="single" w:sz="4" w:space="0" w:color="auto"/>
              <w:left w:val="single" w:sz="4" w:space="0" w:color="auto"/>
              <w:bottom w:val="single" w:sz="4" w:space="0" w:color="auto"/>
              <w:right w:val="single" w:sz="4" w:space="0" w:color="auto"/>
            </w:tcBorders>
            <w:shd w:val="clear" w:color="auto" w:fill="D9D9D9"/>
            <w:vAlign w:val="center"/>
          </w:tcPr>
          <w:p w:rsidR="00EA089B" w:rsidRPr="001F3421" w:rsidRDefault="0063223A" w:rsidP="00234010">
            <w:pPr>
              <w:spacing w:before="60" w:line="240" w:lineRule="auto"/>
              <w:rPr>
                <w:sz w:val="20"/>
              </w:rPr>
            </w:pPr>
            <w:r>
              <w:rPr>
                <w:sz w:val="20"/>
              </w:rPr>
              <w:t xml:space="preserve">Referat und </w:t>
            </w:r>
            <w:r w:rsidR="00EA089B" w:rsidRPr="001F3421">
              <w:rPr>
                <w:sz w:val="20"/>
              </w:rPr>
              <w:t>AZ</w:t>
            </w:r>
          </w:p>
        </w:tc>
        <w:tc>
          <w:tcPr>
            <w:tcW w:w="3438" w:type="pct"/>
            <w:tcBorders>
              <w:top w:val="single" w:sz="4" w:space="0" w:color="auto"/>
              <w:left w:val="single" w:sz="4" w:space="0" w:color="auto"/>
              <w:bottom w:val="single" w:sz="4" w:space="0" w:color="auto"/>
              <w:right w:val="single" w:sz="4" w:space="0" w:color="auto"/>
            </w:tcBorders>
            <w:vAlign w:val="center"/>
          </w:tcPr>
          <w:p w:rsidR="00EA089B" w:rsidRPr="001F3421" w:rsidRDefault="003364FD" w:rsidP="00706712">
            <w:pPr>
              <w:spacing w:line="240" w:lineRule="auto"/>
              <w:rPr>
                <w:sz w:val="20"/>
              </w:rPr>
            </w:pPr>
            <w:bookmarkStart w:id="12" w:name="az"/>
            <w:bookmarkEnd w:id="12"/>
            <w:r>
              <w:rPr>
                <w:sz w:val="20"/>
              </w:rPr>
              <w:t>VIA2 - 160300</w:t>
            </w:r>
          </w:p>
        </w:tc>
      </w:tr>
    </w:tbl>
    <w:p w:rsidR="00086F21" w:rsidRDefault="00086F21" w:rsidP="00C8208B">
      <w:pPr>
        <w:spacing w:line="240" w:lineRule="auto"/>
      </w:pPr>
    </w:p>
    <w:p w:rsidR="006E42CE" w:rsidRDefault="006E42CE" w:rsidP="00C8208B">
      <w:pPr>
        <w:spacing w:line="240" w:lineRule="auto"/>
      </w:pPr>
      <w:r>
        <w:t>Die Staatssekretär</w:t>
      </w:r>
      <w:r w:rsidR="00126C0D">
        <w:t>in</w:t>
      </w:r>
      <w:r w:rsidR="00870C1F">
        <w:t>nen</w:t>
      </w:r>
      <w:r w:rsidR="00126C0D">
        <w:t xml:space="preserve"> und di</w:t>
      </w:r>
      <w:r>
        <w:t xml:space="preserve">e </w:t>
      </w:r>
      <w:r w:rsidR="00126C0D">
        <w:t xml:space="preserve">Staatssekretäre </w:t>
      </w:r>
      <w:r>
        <w:t>haben Abdruck erhalten.</w:t>
      </w:r>
      <w:bookmarkStart w:id="13" w:name="anlagen"/>
      <w:bookmarkEnd w:id="13"/>
    </w:p>
    <w:p w:rsidR="00C8208B" w:rsidRDefault="00C8208B"/>
    <w:p w:rsidR="00151CE1" w:rsidRDefault="00151CE1">
      <w:bookmarkStart w:id="14" w:name="absatz"/>
      <w:bookmarkEnd w:id="14"/>
    </w:p>
    <w:p w:rsidR="003364FD" w:rsidRDefault="003364FD" w:rsidP="004D003E">
      <w:pPr>
        <w:pStyle w:val="Ueberschr"/>
        <w:spacing w:before="100" w:beforeAutospacing="1" w:after="100" w:afterAutospacing="1"/>
      </w:pPr>
      <w:r>
        <w:t>I.</w:t>
      </w:r>
      <w:r>
        <w:tab/>
        <w:t>Votum</w:t>
      </w:r>
    </w:p>
    <w:p w:rsidR="003364FD" w:rsidRDefault="003364FD" w:rsidP="004D003E">
      <w:pPr>
        <w:spacing w:before="100" w:beforeAutospacing="1" w:after="100" w:afterAutospacing="1"/>
      </w:pPr>
      <w:r>
        <w:t xml:space="preserve">Es wird vorgeschlagen, dem Kabinett den anliegenden </w:t>
      </w:r>
      <w:r w:rsidR="00987304">
        <w:t>E</w:t>
      </w:r>
      <w:r>
        <w:t xml:space="preserve">ntwurf </w:t>
      </w:r>
      <w:r w:rsidR="00987304">
        <w:t>einer Gegenäußerung der Bundesregierung</w:t>
      </w:r>
      <w:r w:rsidR="004D003E">
        <w:t xml:space="preserve"> zur Entscheidung</w:t>
      </w:r>
      <w:r>
        <w:t xml:space="preserve"> vorzulegen.</w:t>
      </w:r>
    </w:p>
    <w:p w:rsidR="003364FD" w:rsidRDefault="003364FD" w:rsidP="004D003E">
      <w:pPr>
        <w:pStyle w:val="Ueberschr"/>
        <w:spacing w:before="100" w:beforeAutospacing="1" w:after="100" w:afterAutospacing="1"/>
      </w:pPr>
      <w:r>
        <w:t>II.</w:t>
      </w:r>
      <w:r>
        <w:tab/>
        <w:t>Sachverhalt</w:t>
      </w:r>
    </w:p>
    <w:p w:rsidR="003364FD" w:rsidRDefault="00987304" w:rsidP="004D003E">
      <w:pPr>
        <w:spacing w:before="100" w:beforeAutospacing="1" w:after="100" w:afterAutospacing="1"/>
      </w:pPr>
      <w:r>
        <w:t>1.</w:t>
      </w:r>
      <w:r>
        <w:tab/>
      </w:r>
      <w:r w:rsidR="003364FD">
        <w:t>Das geltende IWG dient der Umsetzung der EU-Richtlinie zur Weiterverwendung von Informationen des öffentlichen Sektors (Public-</w:t>
      </w:r>
      <w:proofErr w:type="spellStart"/>
      <w:r w:rsidR="003364FD">
        <w:t>Sector</w:t>
      </w:r>
      <w:proofErr w:type="spellEnd"/>
      <w:r w:rsidR="003364FD">
        <w:t xml:space="preserve">-Information (PSI)-Richtlinie). Die Richtlinie zielt darauf ab, dass </w:t>
      </w:r>
      <w:r w:rsidR="003364FD" w:rsidRPr="004D003E">
        <w:rPr>
          <w:b/>
        </w:rPr>
        <w:t>zugängliche staatliche Informationen</w:t>
      </w:r>
      <w:r w:rsidR="003364FD">
        <w:t xml:space="preserve"> </w:t>
      </w:r>
      <w:r w:rsidR="00F04A57">
        <w:t xml:space="preserve">insbesondere für kommerzielle Zwecke </w:t>
      </w:r>
      <w:r w:rsidR="00F04A57" w:rsidRPr="004D003E">
        <w:rPr>
          <w:b/>
        </w:rPr>
        <w:t>weiterverwendet</w:t>
      </w:r>
      <w:r w:rsidR="00F04A57">
        <w:t xml:space="preserve"> werden können,</w:t>
      </w:r>
      <w:r w:rsidR="003364FD">
        <w:t xml:space="preserve"> etwa um Informationsdienstleistungen in der digitalen Welt anzubieten.</w:t>
      </w:r>
      <w:r w:rsidR="00F04A57">
        <w:t xml:space="preserve"> Von besonderer Bedeutung sind hier etwa </w:t>
      </w:r>
      <w:proofErr w:type="spellStart"/>
      <w:r w:rsidR="00F04A57">
        <w:t>Geodaten</w:t>
      </w:r>
      <w:proofErr w:type="spellEnd"/>
      <w:r w:rsidR="00F04A57">
        <w:t>, Erdbeobachtungs- und Umweltdaten, Verkehrsinformationen, Statistikdaten, Unternehmensdaten und Rechtsinformationen.</w:t>
      </w:r>
    </w:p>
    <w:p w:rsidR="00F04A57" w:rsidRDefault="00F04A57" w:rsidP="004D003E">
      <w:pPr>
        <w:spacing w:before="100" w:beforeAutospacing="1" w:after="100" w:afterAutospacing="1"/>
      </w:pPr>
      <w:r>
        <w:t xml:space="preserve">Die PSI-Richtlinie wurde 2013 geändert. Die Änderungen sind bis </w:t>
      </w:r>
      <w:r w:rsidRPr="004D003E">
        <w:rPr>
          <w:b/>
        </w:rPr>
        <w:t xml:space="preserve">Juli 2015 </w:t>
      </w:r>
      <w:r>
        <w:t xml:space="preserve">in deutsches Recht </w:t>
      </w:r>
      <w:r w:rsidRPr="004D003E">
        <w:rPr>
          <w:b/>
        </w:rPr>
        <w:t>umzusetzen</w:t>
      </w:r>
      <w:r>
        <w:t xml:space="preserve">. </w:t>
      </w:r>
      <w:r w:rsidR="00987304">
        <w:t>Die Bundesregierung hat am 11. Februar einen entsprechenden Gesetzentwurf zur Änderung des IWG beschlossen, und zwar mit folgenden wesentlichen Inhalten:</w:t>
      </w:r>
    </w:p>
    <w:p w:rsidR="00F04A57" w:rsidRDefault="00BB3D32" w:rsidP="004D003E">
      <w:pPr>
        <w:pStyle w:val="Listenabsatz"/>
        <w:numPr>
          <w:ilvl w:val="0"/>
          <w:numId w:val="1"/>
        </w:numPr>
        <w:spacing w:before="100" w:beforeAutospacing="1" w:after="100" w:afterAutospacing="1"/>
      </w:pPr>
      <w:r>
        <w:lastRenderedPageBreak/>
        <w:t>Zukünftig soll ein grundsätzliches Recht auf Weiterverwendung aller Informationen gelten, die in den Anwendungsbereich des Gesetzes fallen (bisher steht dies im Ermessen der jeweiligen öffentlichen Stellen).</w:t>
      </w:r>
    </w:p>
    <w:p w:rsidR="00BB3D32" w:rsidRDefault="00BB3D32" w:rsidP="004D003E">
      <w:pPr>
        <w:pStyle w:val="Listenabsatz"/>
        <w:numPr>
          <w:ilvl w:val="0"/>
          <w:numId w:val="1"/>
        </w:numPr>
        <w:spacing w:before="100" w:beforeAutospacing="1" w:after="100" w:afterAutospacing="1"/>
      </w:pPr>
      <w:r>
        <w:t>Der Anwendungsbereich wird auf Bi</w:t>
      </w:r>
      <w:r w:rsidR="000F2E6E">
        <w:t>b</w:t>
      </w:r>
      <w:r>
        <w:t>liotheken, Museen und Archive ausgeweitet.</w:t>
      </w:r>
    </w:p>
    <w:p w:rsidR="009C6BBA" w:rsidRDefault="00BB3D32" w:rsidP="009C6BBA">
      <w:pPr>
        <w:pStyle w:val="Listenabsatz"/>
        <w:numPr>
          <w:ilvl w:val="0"/>
          <w:numId w:val="1"/>
        </w:numPr>
        <w:spacing w:before="100" w:beforeAutospacing="1" w:after="100" w:afterAutospacing="1"/>
      </w:pPr>
      <w:r>
        <w:t>Die Grundsätze für Entgelte, die öffentliche Stellen für die Weiterverwendung verlangen können</w:t>
      </w:r>
      <w:r w:rsidR="00130C08">
        <w:t xml:space="preserve"> sowie die Transparenzverpflichtungen zur Bestimmung dieser Entgelte werden präzisiert.</w:t>
      </w:r>
    </w:p>
    <w:p w:rsidR="009C6BBA" w:rsidRDefault="009C6BBA" w:rsidP="00987304">
      <w:pPr>
        <w:spacing w:before="100" w:beforeAutospacing="1" w:after="100" w:afterAutospacing="1"/>
      </w:pPr>
      <w:r w:rsidRPr="009C6BBA">
        <w:t xml:space="preserve">Darüber hinaus trägt der Gesetzentwurf Bedenken seitens der Europäischen Kommission Rechnung. Es wird klargestellt, dass die Weiterverwendung für kommerzielle und nicht-kommerzielle Zwecke geregelt wird. Die </w:t>
      </w:r>
      <w:r>
        <w:t xml:space="preserve">bisherige </w:t>
      </w:r>
      <w:r w:rsidRPr="009C6BBA">
        <w:t>Beschränkung auf EU-Bürger wird aufgehoben.</w:t>
      </w:r>
      <w:r w:rsidR="00353ADE">
        <w:t xml:space="preserve"> Das IWG erhält zudem eine Regelung, nach welcher öffentliche Stellen Metadaten der betreffenden Informationen auf einem nationalen Datenportal bereitstellen.</w:t>
      </w:r>
    </w:p>
    <w:p w:rsidR="00987304" w:rsidRDefault="00987304" w:rsidP="00987304">
      <w:pPr>
        <w:spacing w:before="100" w:beforeAutospacing="1" w:after="100" w:afterAutospacing="1"/>
      </w:pPr>
      <w:r>
        <w:t xml:space="preserve">2. Der Bundesrat hat auf der Grundlagen von Empfehlungen des Kultur- und des Innenausschusses am 27. März 2015 eine Stellungnahme beschlossen. Der federführende Wirtschaftsausschuss hatte keine Einwände. Die Stellungnahme enthält zwei Prüfbitten, </w:t>
      </w:r>
      <w:r w:rsidR="00BA3D19">
        <w:t xml:space="preserve">und </w:t>
      </w:r>
      <w:r>
        <w:t>einen Änderungsvorschlag</w:t>
      </w:r>
      <w:r w:rsidR="00BA3D19">
        <w:t>. Weiterhin hält der Bundesrat es für sinnvoll, dass die Bundesregierung eine Handreichung zur Anwendung des IWG herausgibt. In der anliegenden Gegenäußerung werden die Prüfbitten beantwortet. Der Änderungsvorschlag wird abgelehnt. Für eine Handreichung zur Anwendung des Gesetzes wird derzeit kein Bedarf gesehen.</w:t>
      </w:r>
    </w:p>
    <w:p w:rsidR="003364FD" w:rsidRDefault="003364FD" w:rsidP="004D003E">
      <w:pPr>
        <w:pStyle w:val="Ueberschr"/>
        <w:spacing w:before="100" w:beforeAutospacing="1" w:after="100" w:afterAutospacing="1"/>
      </w:pPr>
      <w:r>
        <w:t>III.</w:t>
      </w:r>
      <w:r>
        <w:tab/>
        <w:t>Stellungnahme</w:t>
      </w:r>
    </w:p>
    <w:p w:rsidR="00130C08" w:rsidRDefault="00130C08" w:rsidP="004D003E">
      <w:pPr>
        <w:spacing w:before="100" w:beforeAutospacing="1" w:after="100" w:afterAutospacing="1"/>
      </w:pPr>
      <w:r w:rsidRPr="00130C08">
        <w:t xml:space="preserve">Die </w:t>
      </w:r>
      <w:r w:rsidR="00BA3D19">
        <w:t>Anliegen des Bundesrates sind nicht gravierend. Im Anschluss an den Kabinettbeschluss am 15.04.2015 kann der Gesetzentwurf kann der Gesetzentwurf in der darauf folgenden Woche in 1. Lesung in den Bundestag eingebracht werden. Ein reibungsloser Ablauf des weiteren Gesetzgebungsverfahrens ist zu erwarten.</w:t>
      </w:r>
    </w:p>
    <w:p w:rsidR="00C10EAC" w:rsidRDefault="00C10EAC" w:rsidP="004D003E">
      <w:pPr>
        <w:spacing w:before="100" w:beforeAutospacing="1" w:after="100" w:afterAutospacing="1"/>
        <w:rPr>
          <w:u w:val="single"/>
        </w:rPr>
      </w:pPr>
      <w:r w:rsidRPr="00C10EAC">
        <w:rPr>
          <w:u w:val="single"/>
        </w:rPr>
        <w:t xml:space="preserve">IV. Gesprächselemente für die </w:t>
      </w:r>
      <w:r>
        <w:rPr>
          <w:u w:val="single"/>
        </w:rPr>
        <w:t>Besprechung</w:t>
      </w:r>
      <w:r w:rsidRPr="00C10EAC">
        <w:rPr>
          <w:u w:val="single"/>
        </w:rPr>
        <w:t xml:space="preserve"> der beamteten Staatssekretäre am 09. Februar 2015</w:t>
      </w:r>
    </w:p>
    <w:p w:rsidR="00C10EAC" w:rsidRPr="00BA3D19" w:rsidRDefault="00C10EAC" w:rsidP="00C10EAC">
      <w:pPr>
        <w:pStyle w:val="Listenabsatz"/>
        <w:numPr>
          <w:ilvl w:val="0"/>
          <w:numId w:val="2"/>
        </w:numPr>
        <w:spacing w:before="100" w:beforeAutospacing="1" w:after="100" w:afterAutospacing="1"/>
        <w:rPr>
          <w:u w:val="single"/>
        </w:rPr>
      </w:pPr>
      <w:r>
        <w:lastRenderedPageBreak/>
        <w:t xml:space="preserve">Der Gesetzentwurf </w:t>
      </w:r>
      <w:r w:rsidR="00BA3D19">
        <w:t xml:space="preserve">der Bundesregierung </w:t>
      </w:r>
      <w:r>
        <w:t xml:space="preserve">zur Änderung des Informationsweiterverwendungsgesetzes dient der Umsetzung </w:t>
      </w:r>
      <w:r w:rsidR="00BA3D19">
        <w:t>geänderter</w:t>
      </w:r>
      <w:r>
        <w:t xml:space="preserve"> EU-Vorgaben der „Public-</w:t>
      </w:r>
      <w:proofErr w:type="spellStart"/>
      <w:r>
        <w:t>Sector</w:t>
      </w:r>
      <w:proofErr w:type="spellEnd"/>
      <w:r>
        <w:t>-Information-Richtlinie“.</w:t>
      </w:r>
    </w:p>
    <w:p w:rsidR="00BA3D19" w:rsidRPr="00FD359C" w:rsidRDefault="00BA3D19" w:rsidP="00C10EAC">
      <w:pPr>
        <w:pStyle w:val="Listenabsatz"/>
        <w:numPr>
          <w:ilvl w:val="0"/>
          <w:numId w:val="2"/>
        </w:numPr>
        <w:spacing w:before="100" w:beforeAutospacing="1" w:after="100" w:afterAutospacing="1"/>
        <w:rPr>
          <w:u w:val="single"/>
        </w:rPr>
      </w:pPr>
      <w:r>
        <w:t>Der Bundesrat hat dazu eine Stellungnahme beschlossen, die zwei Prüfbitten und einen Änderungsvorschlag enthält</w:t>
      </w:r>
      <w:r w:rsidR="00FD359C">
        <w:t>; weiterhin hält der Bundesrat eine Handreichung der Bundesregierung zur Anwendung des IWG für sinnvoll.</w:t>
      </w:r>
    </w:p>
    <w:p w:rsidR="00FD359C" w:rsidRPr="00FD359C" w:rsidRDefault="00FD359C" w:rsidP="00C10EAC">
      <w:pPr>
        <w:pStyle w:val="Listenabsatz"/>
        <w:numPr>
          <w:ilvl w:val="0"/>
          <w:numId w:val="2"/>
        </w:numPr>
        <w:spacing w:before="100" w:beforeAutospacing="1" w:after="100" w:afterAutospacing="1"/>
        <w:rPr>
          <w:u w:val="single"/>
        </w:rPr>
      </w:pPr>
      <w:r>
        <w:t>Die Anliegen des Bundesrates sind nicht gravierend; die Bundesregierung kommt den Prüfbitten in der Gegenäußerung nach, während die beiden anderen Punkte abgelehnt werden.</w:t>
      </w:r>
    </w:p>
    <w:p w:rsidR="00C10EAC" w:rsidRPr="00C10EAC" w:rsidRDefault="00FD359C" w:rsidP="00FD359C">
      <w:pPr>
        <w:pStyle w:val="Listenabsatz"/>
        <w:numPr>
          <w:ilvl w:val="0"/>
          <w:numId w:val="2"/>
        </w:numPr>
        <w:spacing w:before="100" w:beforeAutospacing="1" w:after="100" w:afterAutospacing="1"/>
        <w:rPr>
          <w:u w:val="single"/>
        </w:rPr>
      </w:pPr>
      <w:r>
        <w:t>Im Übrigen bestehen keine politischen Streitpunkte, so dass mit einem reibungslosen weiteren Ablauf des Gesetzgebungsverfahrens und einer fristgerechten Umsetzung der EU-Anforderungen zu rechnen ist.</w:t>
      </w:r>
      <w:r w:rsidRPr="00C10EAC">
        <w:rPr>
          <w:u w:val="single"/>
        </w:rPr>
        <w:t xml:space="preserve"> </w:t>
      </w:r>
    </w:p>
    <w:p w:rsidR="00933715" w:rsidRDefault="00933715"/>
    <w:sectPr w:rsidR="00933715" w:rsidSect="00647FBD">
      <w:headerReference w:type="default" r:id="rId8"/>
      <w:footerReference w:type="default" r:id="rId9"/>
      <w:footerReference w:type="first" r:id="rId10"/>
      <w:pgSz w:w="11906" w:h="16838" w:code="9"/>
      <w:pgMar w:top="964" w:right="1134" w:bottom="1134" w:left="1418" w:header="964"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4FD" w:rsidRDefault="003364FD">
      <w:pPr>
        <w:spacing w:line="240" w:lineRule="auto"/>
      </w:pPr>
      <w:r>
        <w:separator/>
      </w:r>
    </w:p>
  </w:endnote>
  <w:endnote w:type="continuationSeparator" w:id="0">
    <w:p w:rsidR="003364FD" w:rsidRDefault="00336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8B" w:rsidRDefault="004A728B" w:rsidP="00933715">
    <w:pPr>
      <w:framePr w:hSpace="142" w:wrap="notBeside" w:vAnchor="page" w:hAnchor="page" w:x="8619" w:y="15764"/>
    </w:pPr>
    <w:r>
      <w:fldChar w:fldCharType="begin"/>
    </w:r>
    <w:r>
      <w:instrText xml:space="preserve"> IF </w:instrText>
    </w:r>
    <w:r>
      <w:fldChar w:fldCharType="begin"/>
    </w:r>
    <w:r>
      <w:instrText xml:space="preserve"> PAGE </w:instrText>
    </w:r>
    <w:r>
      <w:fldChar w:fldCharType="separate"/>
    </w:r>
    <w:r w:rsidR="00886E5D">
      <w:rPr>
        <w:noProof/>
      </w:rPr>
      <w:instrText>3</w:instrText>
    </w:r>
    <w:r>
      <w:fldChar w:fldCharType="end"/>
    </w:r>
    <w:r>
      <w:instrText xml:space="preserve"> &lt; </w:instrText>
    </w:r>
    <w:r w:rsidR="00886E5D">
      <w:fldChar w:fldCharType="begin"/>
    </w:r>
    <w:r w:rsidR="00886E5D">
      <w:instrText xml:space="preserve"> N</w:instrText>
    </w:r>
    <w:r w:rsidR="00886E5D">
      <w:instrText xml:space="preserve">UMPAGES </w:instrText>
    </w:r>
    <w:r w:rsidR="00886E5D">
      <w:fldChar w:fldCharType="separate"/>
    </w:r>
    <w:r w:rsidR="00886E5D">
      <w:rPr>
        <w:noProof/>
      </w:rPr>
      <w:instrText>3</w:instrText>
    </w:r>
    <w:r w:rsidR="00886E5D">
      <w:rPr>
        <w:noProof/>
      </w:rPr>
      <w:fldChar w:fldCharType="end"/>
    </w:r>
    <w:r>
      <w:instrText xml:space="preserve"> „</w:instrText>
    </w:r>
    <w:r>
      <w:rPr>
        <w:b/>
      </w:rPr>
      <w:instrText>. . .</w:instrText>
    </w:r>
    <w:r>
      <w:instrText xml:space="preserve">“ „“ </w:instrText>
    </w:r>
    <w:r>
      <w:fldChar w:fldCharType="end"/>
    </w:r>
  </w:p>
  <w:p w:rsidR="004A728B" w:rsidRDefault="004A728B">
    <w:pPr>
      <w:pStyle w:val="Fuzeile"/>
    </w:pPr>
    <w:r>
      <w:rPr>
        <w:vanish/>
        <w:sz w:val="14"/>
      </w:rPr>
      <w:fldChar w:fldCharType="begin"/>
    </w:r>
    <w:r>
      <w:rPr>
        <w:vanish/>
        <w:sz w:val="14"/>
      </w:rPr>
      <w:instrText xml:space="preserve"> FILENAME \p  \* MERGEFORMAT </w:instrText>
    </w:r>
    <w:r>
      <w:rPr>
        <w:vanish/>
        <w:sz w:val="14"/>
      </w:rPr>
      <w:fldChar w:fldCharType="separate"/>
    </w:r>
    <w:r w:rsidR="003364FD">
      <w:rPr>
        <w:noProof/>
        <w:vanish/>
        <w:sz w:val="14"/>
      </w:rPr>
      <w:t>Dokument2</w:t>
    </w:r>
    <w:r>
      <w:rPr>
        <w:vanish/>
        <w:sz w:val="14"/>
      </w:rPr>
      <w:fldChar w:fldCharType="end"/>
    </w:r>
    <w:r>
      <w:rPr>
        <w:vanish/>
        <w:sz w:val="14"/>
      </w:rPr>
      <w:t xml:space="preserve"> </w:t>
    </w:r>
    <w:r>
      <w:rPr>
        <w:vanish/>
        <w:sz w:val="14"/>
      </w:rPr>
      <w:fldChar w:fldCharType="begin"/>
    </w:r>
    <w:r>
      <w:rPr>
        <w:vanish/>
        <w:sz w:val="14"/>
      </w:rPr>
      <w:instrText>DATE  \* MERGEFORMAT</w:instrText>
    </w:r>
    <w:r>
      <w:rPr>
        <w:vanish/>
        <w:sz w:val="14"/>
      </w:rPr>
      <w:fldChar w:fldCharType="separate"/>
    </w:r>
    <w:r w:rsidR="00886E5D">
      <w:rPr>
        <w:noProof/>
        <w:vanish/>
        <w:sz w:val="14"/>
      </w:rPr>
      <w:t>11.01.2016</w:t>
    </w:r>
    <w:r>
      <w:rPr>
        <w:vanish/>
        <w:sz w:val="14"/>
      </w:rPr>
      <w:fldChar w:fldCharType="end"/>
    </w:r>
    <w:r>
      <w:rPr>
        <w:vanish/>
        <w:sz w:val="14"/>
      </w:rPr>
      <w:t xml:space="preserve">  </w:t>
    </w:r>
    <w:r>
      <w:rPr>
        <w:vanish/>
        <w:sz w:val="14"/>
      </w:rPr>
      <w:fldChar w:fldCharType="begin"/>
    </w:r>
    <w:r>
      <w:rPr>
        <w:vanish/>
        <w:sz w:val="14"/>
      </w:rPr>
      <w:instrText xml:space="preserve"> USERINITIALS  \* MERGEFORMAT </w:instrText>
    </w:r>
    <w:r>
      <w:rPr>
        <w:vanish/>
        <w:sz w:val="14"/>
      </w:rPr>
      <w:fldChar w:fldCharType="separate"/>
    </w:r>
    <w:r w:rsidR="003364FD">
      <w:rPr>
        <w:noProof/>
        <w:vanish/>
        <w:sz w:val="14"/>
      </w:rPr>
      <w:t>BRV</w:t>
    </w:r>
    <w:r>
      <w:rPr>
        <w:vanish/>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8B" w:rsidRDefault="004A728B" w:rsidP="00933715">
    <w:pPr>
      <w:framePr w:hSpace="142" w:wrap="notBeside" w:vAnchor="page" w:hAnchor="page" w:x="8619" w:y="15764"/>
    </w:pPr>
    <w:r>
      <w:fldChar w:fldCharType="begin"/>
    </w:r>
    <w:r>
      <w:instrText xml:space="preserve"> IF </w:instrText>
    </w:r>
    <w:r>
      <w:fldChar w:fldCharType="begin"/>
    </w:r>
    <w:r>
      <w:instrText xml:space="preserve"> PAGE </w:instrText>
    </w:r>
    <w:r>
      <w:fldChar w:fldCharType="separate"/>
    </w:r>
    <w:r w:rsidR="00886E5D">
      <w:rPr>
        <w:noProof/>
      </w:rPr>
      <w:instrText>1</w:instrText>
    </w:r>
    <w:r>
      <w:fldChar w:fldCharType="end"/>
    </w:r>
    <w:r>
      <w:instrText xml:space="preserve"> &lt; </w:instrText>
    </w:r>
    <w:r w:rsidR="00886E5D">
      <w:fldChar w:fldCharType="begin"/>
    </w:r>
    <w:r w:rsidR="00886E5D">
      <w:instrText xml:space="preserve"> NUMPAGES </w:instrText>
    </w:r>
    <w:r w:rsidR="00886E5D">
      <w:fldChar w:fldCharType="separate"/>
    </w:r>
    <w:r w:rsidR="00886E5D">
      <w:rPr>
        <w:noProof/>
      </w:rPr>
      <w:instrText>3</w:instrText>
    </w:r>
    <w:r w:rsidR="00886E5D">
      <w:rPr>
        <w:noProof/>
      </w:rPr>
      <w:fldChar w:fldCharType="end"/>
    </w:r>
    <w:r>
      <w:instrText xml:space="preserve"> „</w:instrText>
    </w:r>
    <w:r>
      <w:rPr>
        <w:b/>
      </w:rPr>
      <w:instrText>. . .</w:instrText>
    </w:r>
    <w:r>
      <w:instrText xml:space="preserve">“ „“ </w:instrText>
    </w:r>
    <w:r w:rsidR="00886E5D">
      <w:fldChar w:fldCharType="separate"/>
    </w:r>
    <w:r w:rsidR="00886E5D">
      <w:rPr>
        <w:b/>
        <w:noProof/>
      </w:rPr>
      <w:t>. . .</w:t>
    </w:r>
    <w:r>
      <w:fldChar w:fldCharType="end"/>
    </w:r>
  </w:p>
  <w:p w:rsidR="004A728B" w:rsidRDefault="004A728B">
    <w:pPr>
      <w:pStyle w:val="Fuzeile"/>
    </w:pPr>
    <w:r>
      <w:rPr>
        <w:vanish/>
        <w:sz w:val="14"/>
      </w:rPr>
      <w:fldChar w:fldCharType="begin"/>
    </w:r>
    <w:r>
      <w:rPr>
        <w:vanish/>
        <w:sz w:val="14"/>
      </w:rPr>
      <w:instrText xml:space="preserve"> FILENAME \p  \* MERGEFORMAT </w:instrText>
    </w:r>
    <w:r>
      <w:rPr>
        <w:vanish/>
        <w:sz w:val="14"/>
      </w:rPr>
      <w:fldChar w:fldCharType="separate"/>
    </w:r>
    <w:r w:rsidR="003364FD">
      <w:rPr>
        <w:noProof/>
        <w:vanish/>
        <w:sz w:val="14"/>
      </w:rPr>
      <w:t>Dokument2</w:t>
    </w:r>
    <w:r>
      <w:rPr>
        <w:vanish/>
        <w:sz w:val="14"/>
      </w:rPr>
      <w:fldChar w:fldCharType="end"/>
    </w:r>
    <w:r>
      <w:rPr>
        <w:vanish/>
        <w:sz w:val="14"/>
      </w:rPr>
      <w:t xml:space="preserve"> </w:t>
    </w:r>
    <w:r>
      <w:rPr>
        <w:vanish/>
        <w:sz w:val="14"/>
      </w:rPr>
      <w:fldChar w:fldCharType="begin"/>
    </w:r>
    <w:r>
      <w:rPr>
        <w:vanish/>
        <w:sz w:val="14"/>
      </w:rPr>
      <w:instrText>DATE  \* MERGEFORMAT</w:instrText>
    </w:r>
    <w:r>
      <w:rPr>
        <w:vanish/>
        <w:sz w:val="14"/>
      </w:rPr>
      <w:fldChar w:fldCharType="separate"/>
    </w:r>
    <w:r w:rsidR="00886E5D">
      <w:rPr>
        <w:noProof/>
        <w:vanish/>
        <w:sz w:val="14"/>
      </w:rPr>
      <w:t>11.01.2016</w:t>
    </w:r>
    <w:r>
      <w:rPr>
        <w:vanish/>
        <w:sz w:val="14"/>
      </w:rPr>
      <w:fldChar w:fldCharType="end"/>
    </w:r>
    <w:r>
      <w:rPr>
        <w:vanish/>
        <w:sz w:val="14"/>
      </w:rPr>
      <w:t xml:space="preserve">  </w:t>
    </w:r>
    <w:r>
      <w:rPr>
        <w:vanish/>
        <w:sz w:val="14"/>
      </w:rPr>
      <w:fldChar w:fldCharType="begin"/>
    </w:r>
    <w:r>
      <w:rPr>
        <w:vanish/>
        <w:sz w:val="14"/>
      </w:rPr>
      <w:instrText xml:space="preserve"> USERINITIALS  \* MERGEFORMAT </w:instrText>
    </w:r>
    <w:r>
      <w:rPr>
        <w:vanish/>
        <w:sz w:val="14"/>
      </w:rPr>
      <w:fldChar w:fldCharType="separate"/>
    </w:r>
    <w:r w:rsidR="003364FD">
      <w:rPr>
        <w:noProof/>
        <w:vanish/>
        <w:sz w:val="14"/>
      </w:rPr>
      <w:t>BRV</w:t>
    </w:r>
    <w:r>
      <w:rPr>
        <w:vanish/>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4FD" w:rsidRDefault="003364FD">
      <w:pPr>
        <w:spacing w:line="240" w:lineRule="auto"/>
      </w:pPr>
      <w:r>
        <w:separator/>
      </w:r>
    </w:p>
  </w:footnote>
  <w:footnote w:type="continuationSeparator" w:id="0">
    <w:p w:rsidR="003364FD" w:rsidRDefault="003364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8B" w:rsidRDefault="004A728B" w:rsidP="00047CA7">
    <w:pPr>
      <w:pStyle w:val="Kopfzeile"/>
      <w:spacing w:after="240"/>
      <w:jc w:val="center"/>
    </w:pPr>
    <w:r>
      <w:t xml:space="preserve">- </w:t>
    </w:r>
    <w:r>
      <w:rPr>
        <w:rStyle w:val="Seitenzahl"/>
      </w:rPr>
      <w:fldChar w:fldCharType="begin"/>
    </w:r>
    <w:r>
      <w:rPr>
        <w:rStyle w:val="Seitenzahl"/>
      </w:rPr>
      <w:instrText xml:space="preserve"> PAGE </w:instrText>
    </w:r>
    <w:r>
      <w:rPr>
        <w:rStyle w:val="Seitenzahl"/>
      </w:rPr>
      <w:fldChar w:fldCharType="separate"/>
    </w:r>
    <w:r w:rsidR="00886E5D">
      <w:rPr>
        <w:rStyle w:val="Seitenzahl"/>
        <w:noProof/>
      </w:rPr>
      <w:t>3</w:t>
    </w:r>
    <w:r>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01FF"/>
    <w:multiLevelType w:val="hybridMultilevel"/>
    <w:tmpl w:val="6180E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AB96186"/>
    <w:multiLevelType w:val="hybridMultilevel"/>
    <w:tmpl w:val="261C4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BMWI22"/>
  </w:docVars>
  <w:rsids>
    <w:rsidRoot w:val="003364FD"/>
    <w:rsid w:val="00005344"/>
    <w:rsid w:val="00044FFF"/>
    <w:rsid w:val="00047CA7"/>
    <w:rsid w:val="00055C8D"/>
    <w:rsid w:val="000639BA"/>
    <w:rsid w:val="00086F21"/>
    <w:rsid w:val="000947D2"/>
    <w:rsid w:val="000B69AA"/>
    <w:rsid w:val="000F2E6E"/>
    <w:rsid w:val="000F3536"/>
    <w:rsid w:val="00126C0D"/>
    <w:rsid w:val="00126D6A"/>
    <w:rsid w:val="00130C08"/>
    <w:rsid w:val="00151CE1"/>
    <w:rsid w:val="00181DA8"/>
    <w:rsid w:val="00182D68"/>
    <w:rsid w:val="00186FEF"/>
    <w:rsid w:val="0018747D"/>
    <w:rsid w:val="00192F78"/>
    <w:rsid w:val="001B2276"/>
    <w:rsid w:val="0020643C"/>
    <w:rsid w:val="0023167A"/>
    <w:rsid w:val="00234010"/>
    <w:rsid w:val="002439A0"/>
    <w:rsid w:val="002F0908"/>
    <w:rsid w:val="00334A30"/>
    <w:rsid w:val="00335718"/>
    <w:rsid w:val="003364FD"/>
    <w:rsid w:val="00353ADE"/>
    <w:rsid w:val="00381F71"/>
    <w:rsid w:val="00384ABC"/>
    <w:rsid w:val="00386002"/>
    <w:rsid w:val="003918C5"/>
    <w:rsid w:val="003934C8"/>
    <w:rsid w:val="003A76E8"/>
    <w:rsid w:val="003D1F1A"/>
    <w:rsid w:val="003F2DB6"/>
    <w:rsid w:val="00433C78"/>
    <w:rsid w:val="00495FC8"/>
    <w:rsid w:val="004A728B"/>
    <w:rsid w:val="004C5E0C"/>
    <w:rsid w:val="004C5E1F"/>
    <w:rsid w:val="004D003E"/>
    <w:rsid w:val="004D6018"/>
    <w:rsid w:val="004F460A"/>
    <w:rsid w:val="00506090"/>
    <w:rsid w:val="00524343"/>
    <w:rsid w:val="00526B93"/>
    <w:rsid w:val="00545648"/>
    <w:rsid w:val="005A17EB"/>
    <w:rsid w:val="005A24F5"/>
    <w:rsid w:val="005C57E1"/>
    <w:rsid w:val="0063223A"/>
    <w:rsid w:val="006431F3"/>
    <w:rsid w:val="00647FBD"/>
    <w:rsid w:val="006530FB"/>
    <w:rsid w:val="00653660"/>
    <w:rsid w:val="00656992"/>
    <w:rsid w:val="006D1D0B"/>
    <w:rsid w:val="006D1DE7"/>
    <w:rsid w:val="006D2DB8"/>
    <w:rsid w:val="006E42CE"/>
    <w:rsid w:val="00703A3E"/>
    <w:rsid w:val="00706712"/>
    <w:rsid w:val="0074477D"/>
    <w:rsid w:val="0079374F"/>
    <w:rsid w:val="007A13BD"/>
    <w:rsid w:val="007B41F4"/>
    <w:rsid w:val="00817745"/>
    <w:rsid w:val="00823E3D"/>
    <w:rsid w:val="008317D8"/>
    <w:rsid w:val="008572EA"/>
    <w:rsid w:val="00870C1F"/>
    <w:rsid w:val="00886E5D"/>
    <w:rsid w:val="008A278B"/>
    <w:rsid w:val="008D25E8"/>
    <w:rsid w:val="008F2634"/>
    <w:rsid w:val="00933715"/>
    <w:rsid w:val="00974073"/>
    <w:rsid w:val="00987304"/>
    <w:rsid w:val="0099417C"/>
    <w:rsid w:val="009A25D5"/>
    <w:rsid w:val="009A4E8F"/>
    <w:rsid w:val="009A533B"/>
    <w:rsid w:val="009B79A8"/>
    <w:rsid w:val="009C6BBA"/>
    <w:rsid w:val="00A37541"/>
    <w:rsid w:val="00A51741"/>
    <w:rsid w:val="00A923D5"/>
    <w:rsid w:val="00AC6C4D"/>
    <w:rsid w:val="00B2639E"/>
    <w:rsid w:val="00BA3D19"/>
    <w:rsid w:val="00BB3D32"/>
    <w:rsid w:val="00BC1659"/>
    <w:rsid w:val="00C10EAC"/>
    <w:rsid w:val="00C228C0"/>
    <w:rsid w:val="00C46F01"/>
    <w:rsid w:val="00C518A7"/>
    <w:rsid w:val="00C51E01"/>
    <w:rsid w:val="00C65A0F"/>
    <w:rsid w:val="00C8208B"/>
    <w:rsid w:val="00CA6222"/>
    <w:rsid w:val="00CC39C1"/>
    <w:rsid w:val="00D50704"/>
    <w:rsid w:val="00D73F10"/>
    <w:rsid w:val="00DE3435"/>
    <w:rsid w:val="00DF765C"/>
    <w:rsid w:val="00E656BC"/>
    <w:rsid w:val="00EA089B"/>
    <w:rsid w:val="00EB1F57"/>
    <w:rsid w:val="00EC1BA7"/>
    <w:rsid w:val="00ED329B"/>
    <w:rsid w:val="00F04A57"/>
    <w:rsid w:val="00F26E92"/>
    <w:rsid w:val="00F3241E"/>
    <w:rsid w:val="00FA0F1F"/>
    <w:rsid w:val="00FD3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FBD"/>
    <w:pPr>
      <w:spacing w:line="360" w:lineRule="auto"/>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next w:val="Standard"/>
    <w:rsid w:val="00A923D5"/>
    <w:pPr>
      <w:tabs>
        <w:tab w:val="left" w:pos="567"/>
      </w:tabs>
      <w:spacing w:before="240"/>
      <w:ind w:left="567" w:hanging="567"/>
    </w:pPr>
  </w:style>
  <w:style w:type="paragraph" w:styleId="Kopfzeile">
    <w:name w:val="header"/>
    <w:basedOn w:val="Standard"/>
    <w:rsid w:val="00047CA7"/>
    <w:pPr>
      <w:tabs>
        <w:tab w:val="center" w:pos="4536"/>
        <w:tab w:val="right" w:pos="9072"/>
      </w:tabs>
    </w:pPr>
  </w:style>
  <w:style w:type="paragraph" w:styleId="Fuzeile">
    <w:name w:val="footer"/>
    <w:basedOn w:val="Standard"/>
    <w:rsid w:val="00047CA7"/>
    <w:pPr>
      <w:tabs>
        <w:tab w:val="center" w:pos="4536"/>
        <w:tab w:val="right" w:pos="9072"/>
      </w:tabs>
    </w:pPr>
  </w:style>
  <w:style w:type="character" w:styleId="Seitenzahl">
    <w:name w:val="page number"/>
    <w:basedOn w:val="Absatz-Standardschriftart"/>
    <w:rsid w:val="00047CA7"/>
  </w:style>
  <w:style w:type="paragraph" w:customStyle="1" w:styleId="Ueberschr">
    <w:name w:val="Ueberschr"/>
    <w:basedOn w:val="Standard"/>
    <w:next w:val="Standard"/>
    <w:rsid w:val="00C228C0"/>
    <w:pPr>
      <w:tabs>
        <w:tab w:val="left" w:pos="425"/>
      </w:tabs>
      <w:ind w:left="425" w:hanging="425"/>
    </w:pPr>
    <w:rPr>
      <w:u w:val="single"/>
    </w:rPr>
  </w:style>
  <w:style w:type="paragraph" w:customStyle="1" w:styleId="GesprElementeStandard">
    <w:name w:val="GesprElementeStandard"/>
    <w:basedOn w:val="Standard"/>
    <w:rsid w:val="00D73F10"/>
    <w:rPr>
      <w:sz w:val="32"/>
    </w:rPr>
  </w:style>
  <w:style w:type="paragraph" w:customStyle="1" w:styleId="GesprElementeUeberschr">
    <w:name w:val="GesprElementeUeberschr"/>
    <w:basedOn w:val="Ueberschr"/>
    <w:next w:val="GesprElementeStandard"/>
    <w:rsid w:val="00D73F10"/>
    <w:rPr>
      <w:sz w:val="32"/>
    </w:rPr>
  </w:style>
  <w:style w:type="paragraph" w:styleId="Sprechblasentext">
    <w:name w:val="Balloon Text"/>
    <w:basedOn w:val="Standard"/>
    <w:link w:val="SprechblasentextZchn"/>
    <w:uiPriority w:val="99"/>
    <w:semiHidden/>
    <w:unhideWhenUsed/>
    <w:rsid w:val="00F3241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41E"/>
    <w:rPr>
      <w:rFonts w:ascii="Tahoma" w:hAnsi="Tahoma" w:cs="Tahoma"/>
      <w:sz w:val="16"/>
      <w:szCs w:val="16"/>
    </w:rPr>
  </w:style>
  <w:style w:type="paragraph" w:styleId="Listenabsatz">
    <w:name w:val="List Paragraph"/>
    <w:basedOn w:val="Standard"/>
    <w:uiPriority w:val="34"/>
    <w:qFormat/>
    <w:rsid w:val="00F04A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FBD"/>
    <w:pPr>
      <w:spacing w:line="360" w:lineRule="auto"/>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next w:val="Standard"/>
    <w:rsid w:val="00A923D5"/>
    <w:pPr>
      <w:tabs>
        <w:tab w:val="left" w:pos="567"/>
      </w:tabs>
      <w:spacing w:before="240"/>
      <w:ind w:left="567" w:hanging="567"/>
    </w:pPr>
  </w:style>
  <w:style w:type="paragraph" w:styleId="Kopfzeile">
    <w:name w:val="header"/>
    <w:basedOn w:val="Standard"/>
    <w:rsid w:val="00047CA7"/>
    <w:pPr>
      <w:tabs>
        <w:tab w:val="center" w:pos="4536"/>
        <w:tab w:val="right" w:pos="9072"/>
      </w:tabs>
    </w:pPr>
  </w:style>
  <w:style w:type="paragraph" w:styleId="Fuzeile">
    <w:name w:val="footer"/>
    <w:basedOn w:val="Standard"/>
    <w:rsid w:val="00047CA7"/>
    <w:pPr>
      <w:tabs>
        <w:tab w:val="center" w:pos="4536"/>
        <w:tab w:val="right" w:pos="9072"/>
      </w:tabs>
    </w:pPr>
  </w:style>
  <w:style w:type="character" w:styleId="Seitenzahl">
    <w:name w:val="page number"/>
    <w:basedOn w:val="Absatz-Standardschriftart"/>
    <w:rsid w:val="00047CA7"/>
  </w:style>
  <w:style w:type="paragraph" w:customStyle="1" w:styleId="Ueberschr">
    <w:name w:val="Ueberschr"/>
    <w:basedOn w:val="Standard"/>
    <w:next w:val="Standard"/>
    <w:rsid w:val="00C228C0"/>
    <w:pPr>
      <w:tabs>
        <w:tab w:val="left" w:pos="425"/>
      </w:tabs>
      <w:ind w:left="425" w:hanging="425"/>
    </w:pPr>
    <w:rPr>
      <w:u w:val="single"/>
    </w:rPr>
  </w:style>
  <w:style w:type="paragraph" w:customStyle="1" w:styleId="GesprElementeStandard">
    <w:name w:val="GesprElementeStandard"/>
    <w:basedOn w:val="Standard"/>
    <w:rsid w:val="00D73F10"/>
    <w:rPr>
      <w:sz w:val="32"/>
    </w:rPr>
  </w:style>
  <w:style w:type="paragraph" w:customStyle="1" w:styleId="GesprElementeUeberschr">
    <w:name w:val="GesprElementeUeberschr"/>
    <w:basedOn w:val="Ueberschr"/>
    <w:next w:val="GesprElementeStandard"/>
    <w:rsid w:val="00D73F10"/>
    <w:rPr>
      <w:sz w:val="32"/>
    </w:rPr>
  </w:style>
  <w:style w:type="paragraph" w:styleId="Sprechblasentext">
    <w:name w:val="Balloon Text"/>
    <w:basedOn w:val="Standard"/>
    <w:link w:val="SprechblasentextZchn"/>
    <w:uiPriority w:val="99"/>
    <w:semiHidden/>
    <w:unhideWhenUsed/>
    <w:rsid w:val="00F3241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41E"/>
    <w:rPr>
      <w:rFonts w:ascii="Tahoma" w:hAnsi="Tahoma" w:cs="Tahoma"/>
      <w:sz w:val="16"/>
      <w:szCs w:val="16"/>
    </w:rPr>
  </w:style>
  <w:style w:type="paragraph" w:styleId="Listenabsatz">
    <w:name w:val="List Paragraph"/>
    <w:basedOn w:val="Standard"/>
    <w:uiPriority w:val="34"/>
    <w:qFormat/>
    <w:rsid w:val="00F04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MWi\BMWi22.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BMWi22.dotm</Template>
  <TotalTime>0</TotalTime>
  <Pages>3</Pages>
  <Words>511</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Kabinettvorlage</vt:lpstr>
    </vt:vector>
  </TitlesOfParts>
  <Company>BMWi</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Kabinettvorlage</dc:title>
  <dc:creator>Bender, Rolf, VIA8</dc:creator>
  <cp:lastModifiedBy>Bender, Rolf, VIA2</cp:lastModifiedBy>
  <cp:revision>2</cp:revision>
  <dcterms:created xsi:type="dcterms:W3CDTF">2016-01-11T09:38:00Z</dcterms:created>
  <dcterms:modified xsi:type="dcterms:W3CDTF">2016-01-11T09:38:00Z</dcterms:modified>
</cp:coreProperties>
</file>