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sz w:val="24"/>
          <w:szCs w:val="24"/>
        </w:rPr>
      </w:pPr>
      <w:r>
        <w:rPr>
          <w:rFonts w:ascii="Arial" w:hAnsi="Arial" w:cs="Arial"/>
          <w:b/>
          <w:sz w:val="24"/>
          <w:szCs w:val="24"/>
        </w:rPr>
        <w:t>4. Änderung der Unterkunftsrichtlinie</w:t>
      </w:r>
    </w:p>
    <w:p>
      <w:pPr>
        <w:jc w:val="center"/>
        <w:rPr>
          <w:rFonts w:ascii="Arial" w:hAnsi="Arial" w:cs="Arial"/>
          <w:b/>
          <w:sz w:val="24"/>
          <w:szCs w:val="24"/>
        </w:rPr>
      </w:pPr>
      <w:r>
        <w:rPr>
          <w:rFonts w:ascii="Arial" w:hAnsi="Arial" w:cs="Arial"/>
          <w:b/>
          <w:sz w:val="24"/>
          <w:szCs w:val="24"/>
        </w:rPr>
        <w:t>Richtlinie des Landkreises Eichsfeld zur Gewährung von Leistungen für Unterkunft und Heizung bei der Hilfe zum Lebensunterhalt, der Grundsicherung im Alter und bei Erwerbsminderung und bei der Grundsicherung für Arbeitsuchende</w:t>
      </w:r>
    </w:p>
    <w:p>
      <w:pPr>
        <w:jc w:val="both"/>
        <w:rPr>
          <w:rFonts w:ascii="Arial" w:hAnsi="Arial" w:cs="Arial"/>
        </w:rPr>
      </w:pPr>
    </w:p>
    <w:p>
      <w:pPr>
        <w:pStyle w:val="Listenabsatz"/>
        <w:numPr>
          <w:ilvl w:val="0"/>
          <w:numId w:val="19"/>
        </w:numPr>
        <w:spacing w:line="360" w:lineRule="auto"/>
        <w:jc w:val="both"/>
        <w:rPr>
          <w:rFonts w:ascii="Arial" w:hAnsi="Arial" w:cs="Arial"/>
        </w:rPr>
      </w:pPr>
      <w:r>
        <w:rPr>
          <w:rFonts w:ascii="Arial" w:hAnsi="Arial" w:cs="Arial"/>
          <w:b/>
        </w:rPr>
        <w:t>Grundsätze / Rechtsgrundlagen</w:t>
      </w:r>
    </w:p>
    <w:p>
      <w:pPr>
        <w:spacing w:line="360" w:lineRule="auto"/>
        <w:jc w:val="both"/>
        <w:rPr>
          <w:rFonts w:ascii="Arial" w:hAnsi="Arial" w:cs="Arial"/>
        </w:rPr>
      </w:pPr>
      <w:r>
        <w:rPr>
          <w:rFonts w:ascii="Arial" w:hAnsi="Arial" w:cs="Arial"/>
        </w:rPr>
        <w:t xml:space="preserve">Der Landkreis Eichsfeld ist als kommunaler Träger gemäß §§ 6 I 1 Nr. 2 </w:t>
      </w:r>
      <w:proofErr w:type="spellStart"/>
      <w:r>
        <w:rPr>
          <w:rFonts w:ascii="Arial" w:hAnsi="Arial" w:cs="Arial"/>
        </w:rPr>
        <w:t>i.V.m</w:t>
      </w:r>
      <w:proofErr w:type="spellEnd"/>
      <w:r>
        <w:rPr>
          <w:rFonts w:ascii="Arial" w:hAnsi="Arial" w:cs="Arial"/>
        </w:rPr>
        <w:t>. 19, 22 SGB II zuständig für die Gewährung der Kosten der Unterkunft und Heizung an Anspruchsberechtigte, denen Leistungen nach dem SGB II zustehen. Zur Wahrnehmung und inhaltlichen Ausgestaltung der Aufgaben nach §§ 22 ff SGB II erlässt der Landkreis Eichsfeld nachstehende Richtlinie mit Bindungswirkung für das Grundsicherungsamt – Jobcenter des Landkreises Eichsfeld, auf das diese Aufgaben nach § 6b I SGB II übertragen sind.</w:t>
      </w:r>
    </w:p>
    <w:p>
      <w:pPr>
        <w:spacing w:line="360" w:lineRule="auto"/>
        <w:jc w:val="both"/>
        <w:rPr>
          <w:rFonts w:ascii="Arial" w:hAnsi="Arial" w:cs="Arial"/>
        </w:rPr>
      </w:pPr>
      <w:r>
        <w:rPr>
          <w:rFonts w:ascii="Arial" w:hAnsi="Arial" w:cs="Arial"/>
        </w:rPr>
        <w:t>Der Landkreis Eichsfeld ist gemäß § 3 I, II SGB XII örtlicher Träger der Sozialhilfe. Als örtlicher Sozialhilfeträger ist er zuständig nach §§ 27a I und 42 Nr. 4 SGB XII für die Gewährung der Kosten der Unterkunft an Anspruchsberechtigte, denen Hilfe zum Lebensunterhalt, Grundsicherung im Alter und bei Erwerbsminderung zusteht. Bei der Wahrnehmung und Ausgestaltung der Aufgaben nach §§ 35 ff SGB XII gilt diese Richtlinie mit Bindungswirkung für das Sozialamt entsprechend.</w:t>
      </w:r>
    </w:p>
    <w:p>
      <w:pPr>
        <w:spacing w:line="360" w:lineRule="auto"/>
        <w:jc w:val="both"/>
        <w:rPr>
          <w:rFonts w:ascii="Arial" w:hAnsi="Arial" w:cs="Arial"/>
        </w:rPr>
      </w:pPr>
      <w:r>
        <w:rPr>
          <w:rFonts w:ascii="Arial" w:hAnsi="Arial" w:cs="Arial"/>
        </w:rPr>
        <w:t>Zum Zwecke der Ermittlung rechtssicherer Mietobergrenzen im Landkreis Eichsfeld wurde durch das Unternehmen Analyse &amp; Konzepte Beratungsgesellschaft für Wohnen, Immobilien, Stadtentwicklung mbH, Hamburg im 4. Quartal 2015 eine empirische Erhebung zur Fortschreibung der Angemessenheitsgrenzen durchgeführt. Der Abschlussbericht mit Stand 01/2016 ist Grundlage für die Richtwerte zur Bruttokaltmiete.</w:t>
      </w:r>
    </w:p>
    <w:p>
      <w:pPr>
        <w:pStyle w:val="Listenabsatz"/>
        <w:numPr>
          <w:ilvl w:val="0"/>
          <w:numId w:val="19"/>
        </w:numPr>
        <w:spacing w:line="360" w:lineRule="auto"/>
        <w:jc w:val="both"/>
        <w:rPr>
          <w:rFonts w:ascii="Arial" w:hAnsi="Arial" w:cs="Arial"/>
          <w:b/>
        </w:rPr>
      </w:pPr>
      <w:r>
        <w:rPr>
          <w:rFonts w:ascii="Arial" w:hAnsi="Arial" w:cs="Arial"/>
          <w:b/>
        </w:rPr>
        <w:t>Regelungsgegenstand</w:t>
      </w:r>
    </w:p>
    <w:p>
      <w:pPr>
        <w:spacing w:line="360" w:lineRule="auto"/>
        <w:jc w:val="both"/>
        <w:rPr>
          <w:rFonts w:ascii="Arial" w:hAnsi="Arial" w:cs="Arial"/>
        </w:rPr>
      </w:pPr>
      <w:r>
        <w:rPr>
          <w:rFonts w:ascii="Arial" w:hAnsi="Arial" w:cs="Arial"/>
        </w:rPr>
        <w:t>Diese Richtlinie regelt die abstrakte Angemessenheit von Kosten der Unterkunft und Heizung für die oben genannten Anspruchsberechtigten.</w:t>
      </w:r>
    </w:p>
    <w:p>
      <w:pPr>
        <w:spacing w:line="360" w:lineRule="auto"/>
        <w:jc w:val="both"/>
        <w:rPr>
          <w:rFonts w:ascii="Arial" w:hAnsi="Arial" w:cs="Arial"/>
        </w:rPr>
      </w:pPr>
      <w:r>
        <w:rPr>
          <w:rFonts w:ascii="Arial" w:hAnsi="Arial" w:cs="Arial"/>
        </w:rPr>
        <w:t>Dabei gelten für Anspruchsberechtigte mit Wohneigentum dieselben Bestimmungen wie für Mieter.</w:t>
      </w:r>
    </w:p>
    <w:p>
      <w:pPr>
        <w:spacing w:line="360" w:lineRule="auto"/>
        <w:jc w:val="both"/>
        <w:rPr>
          <w:rFonts w:ascii="Arial" w:hAnsi="Arial" w:cs="Arial"/>
        </w:rPr>
      </w:pPr>
    </w:p>
    <w:p>
      <w:pPr>
        <w:spacing w:line="360" w:lineRule="auto"/>
        <w:jc w:val="both"/>
        <w:rPr>
          <w:rFonts w:ascii="Arial" w:hAnsi="Arial" w:cs="Arial"/>
        </w:rPr>
      </w:pPr>
    </w:p>
    <w:p>
      <w:pPr>
        <w:pStyle w:val="Listenabsatz"/>
        <w:numPr>
          <w:ilvl w:val="0"/>
          <w:numId w:val="19"/>
        </w:numPr>
        <w:spacing w:line="360" w:lineRule="auto"/>
        <w:jc w:val="both"/>
        <w:rPr>
          <w:rFonts w:ascii="Arial" w:hAnsi="Arial" w:cs="Arial"/>
          <w:b/>
        </w:rPr>
      </w:pPr>
      <w:r>
        <w:rPr>
          <w:rFonts w:ascii="Arial" w:hAnsi="Arial" w:cs="Arial"/>
          <w:b/>
        </w:rPr>
        <w:lastRenderedPageBreak/>
        <w:t>Angemessenheit der Unterkunftskosten</w:t>
      </w:r>
    </w:p>
    <w:p>
      <w:pPr>
        <w:pStyle w:val="Listenabsatz"/>
        <w:spacing w:line="360" w:lineRule="auto"/>
        <w:jc w:val="both"/>
        <w:rPr>
          <w:rFonts w:ascii="Arial" w:hAnsi="Arial" w:cs="Arial"/>
          <w:b/>
        </w:rPr>
      </w:pPr>
    </w:p>
    <w:p>
      <w:pPr>
        <w:pStyle w:val="Listenabsatz"/>
        <w:numPr>
          <w:ilvl w:val="0"/>
          <w:numId w:val="15"/>
        </w:numPr>
        <w:spacing w:line="360" w:lineRule="auto"/>
        <w:jc w:val="both"/>
        <w:rPr>
          <w:rFonts w:ascii="Arial" w:hAnsi="Arial" w:cs="Arial"/>
          <w:b/>
        </w:rPr>
      </w:pPr>
      <w:r>
        <w:rPr>
          <w:rFonts w:ascii="Arial" w:hAnsi="Arial" w:cs="Arial"/>
          <w:b/>
        </w:rPr>
        <w:t>Wohnflächenbedarf</w:t>
      </w:r>
    </w:p>
    <w:p>
      <w:pPr>
        <w:shd w:val="clear" w:color="auto" w:fill="FFFFFF"/>
        <w:spacing w:after="0" w:line="360" w:lineRule="auto"/>
        <w:jc w:val="both"/>
        <w:rPr>
          <w:rFonts w:ascii="Arial" w:hAnsi="Arial" w:cs="Arial"/>
        </w:rPr>
      </w:pPr>
      <w:r>
        <w:rPr>
          <w:rFonts w:ascii="Arial" w:hAnsi="Arial" w:cs="Arial"/>
        </w:rPr>
        <w:t xml:space="preserve">Ein Faktor bei der Ermittlung der Angemessenheit der Kosten der Unterkunft ist die für die Bedarfsgemeinschaft angemessene Wohnungsgröße. Für den Wohnflächenbedarf ist die entsprechende Landesregelung maßgeblich. Hierbei wurde in entsprechender Anwendung die Richtlinie für die Förderung des sozialen Mietwohnungsbaus in besonderen Gebietskulissen zur Innenstadtstabilisierung im Freistaat Thüringen für das Programm 2013 (Innenstadtstabilisierungsprogramm – ISSP) - </w:t>
      </w:r>
      <w:r>
        <w:rPr>
          <w:rFonts w:ascii="Arial" w:eastAsia="Times New Roman" w:hAnsi="Arial" w:cs="Arial"/>
          <w:color w:val="000000"/>
          <w:lang w:eastAsia="de-DE"/>
        </w:rPr>
        <w:t xml:space="preserve">Bekanntmachung des Thüringer Ministeriums für Bau, Landesentwicklung und Verkehr vom 5. August 2013 </w:t>
      </w:r>
      <w:r>
        <w:rPr>
          <w:rFonts w:ascii="Arial" w:hAnsi="Arial" w:cs="Arial"/>
        </w:rPr>
        <w:t xml:space="preserve">(Thüringer Staatsanzeiger </w:t>
      </w:r>
      <w:r>
        <w:t xml:space="preserve">Nr. </w:t>
      </w:r>
      <w:r>
        <w:rPr>
          <w:rFonts w:ascii="Arial" w:hAnsi="Arial" w:cs="Arial"/>
        </w:rPr>
        <w:t xml:space="preserve">43/2013, S. 1677-1687) zugrunde gelegt mit Ausnahme der Regelung zu den 1-Personen-Haushalten. </w:t>
      </w:r>
    </w:p>
    <w:p>
      <w:pPr>
        <w:shd w:val="clear" w:color="auto" w:fill="FFFFFF"/>
        <w:spacing w:after="0" w:line="360" w:lineRule="auto"/>
        <w:jc w:val="both"/>
        <w:rPr>
          <w:rFonts w:ascii="Arial" w:hAnsi="Arial" w:cs="Arial"/>
        </w:rPr>
      </w:pPr>
      <w:r>
        <w:rPr>
          <w:rFonts w:ascii="Arial" w:hAnsi="Arial" w:cs="Arial"/>
        </w:rPr>
        <w:t>Für die 1-Personen-Haushalte ist ausweislich der Mietwerterhebung eine ausreichende Anzahl an Wohnungen nur in der Größe bis 49 m² verfügbar.</w:t>
      </w:r>
    </w:p>
    <w:p>
      <w:pPr>
        <w:shd w:val="clear" w:color="auto" w:fill="FFFFFF"/>
        <w:spacing w:after="0" w:line="360" w:lineRule="auto"/>
        <w:jc w:val="both"/>
        <w:rPr>
          <w:rFonts w:ascii="Arial" w:hAnsi="Arial" w:cs="Arial"/>
        </w:rPr>
      </w:pPr>
    </w:p>
    <w:p>
      <w:pPr>
        <w:shd w:val="clear" w:color="auto" w:fill="FFFFFF"/>
        <w:spacing w:after="0" w:line="360" w:lineRule="auto"/>
        <w:jc w:val="both"/>
        <w:rPr>
          <w:rFonts w:ascii="Arial" w:hAnsi="Arial" w:cs="Arial"/>
        </w:rPr>
      </w:pPr>
      <w:r>
        <w:rPr>
          <w:rFonts w:ascii="Arial" w:hAnsi="Arial" w:cs="Arial"/>
        </w:rPr>
        <w:t xml:space="preserve">Als Wohnflächenhöchstgrenzen sind als angemessen anzuerkennen: </w:t>
      </w:r>
    </w:p>
    <w:tbl>
      <w:tblPr>
        <w:tblStyle w:val="Tabellenraster"/>
        <w:tblW w:w="0" w:type="auto"/>
        <w:tblLook w:val="04A0" w:firstRow="1" w:lastRow="0" w:firstColumn="1" w:lastColumn="0" w:noHBand="0" w:noVBand="1"/>
      </w:tblPr>
      <w:tblGrid>
        <w:gridCol w:w="4606"/>
        <w:gridCol w:w="4606"/>
      </w:tblGrid>
      <w:tr>
        <w:tc>
          <w:tcPr>
            <w:tcW w:w="4606" w:type="dxa"/>
          </w:tcPr>
          <w:p>
            <w:pPr>
              <w:spacing w:line="360" w:lineRule="auto"/>
              <w:jc w:val="both"/>
              <w:rPr>
                <w:rFonts w:ascii="Arial" w:hAnsi="Arial" w:cs="Arial"/>
                <w:sz w:val="20"/>
                <w:szCs w:val="20"/>
              </w:rPr>
            </w:pPr>
            <w:r>
              <w:rPr>
                <w:rFonts w:ascii="Arial" w:hAnsi="Arial" w:cs="Arial"/>
                <w:sz w:val="20"/>
                <w:szCs w:val="20"/>
              </w:rPr>
              <w:t>Anzahl der Personen im Haushalt</w:t>
            </w:r>
          </w:p>
        </w:tc>
        <w:tc>
          <w:tcPr>
            <w:tcW w:w="4606" w:type="dxa"/>
          </w:tcPr>
          <w:p>
            <w:pPr>
              <w:spacing w:line="360" w:lineRule="auto"/>
              <w:jc w:val="both"/>
              <w:rPr>
                <w:rFonts w:ascii="Arial" w:hAnsi="Arial" w:cs="Arial"/>
                <w:sz w:val="20"/>
                <w:szCs w:val="20"/>
              </w:rPr>
            </w:pPr>
            <w:r>
              <w:rPr>
                <w:rFonts w:ascii="Arial" w:hAnsi="Arial" w:cs="Arial"/>
                <w:sz w:val="20"/>
                <w:szCs w:val="20"/>
              </w:rPr>
              <w:t>Wohnflächenhöchstgrenzen bis zu</w:t>
            </w:r>
          </w:p>
        </w:tc>
      </w:tr>
      <w:tr>
        <w:tc>
          <w:tcPr>
            <w:tcW w:w="4606" w:type="dxa"/>
          </w:tcPr>
          <w:p>
            <w:pPr>
              <w:spacing w:line="360" w:lineRule="auto"/>
              <w:jc w:val="both"/>
              <w:rPr>
                <w:rFonts w:ascii="Arial" w:hAnsi="Arial" w:cs="Arial"/>
                <w:sz w:val="20"/>
                <w:szCs w:val="20"/>
              </w:rPr>
            </w:pPr>
            <w:r>
              <w:rPr>
                <w:rFonts w:ascii="Arial" w:hAnsi="Arial" w:cs="Arial"/>
                <w:sz w:val="20"/>
                <w:szCs w:val="20"/>
              </w:rPr>
              <w:t>1-Personen-Haushalt</w:t>
            </w:r>
          </w:p>
        </w:tc>
        <w:tc>
          <w:tcPr>
            <w:tcW w:w="4606" w:type="dxa"/>
          </w:tcPr>
          <w:p>
            <w:pPr>
              <w:spacing w:line="360" w:lineRule="auto"/>
              <w:jc w:val="both"/>
              <w:rPr>
                <w:rFonts w:ascii="Arial" w:hAnsi="Arial" w:cs="Arial"/>
                <w:sz w:val="20"/>
                <w:szCs w:val="20"/>
              </w:rPr>
            </w:pPr>
            <w:r>
              <w:rPr>
                <w:rFonts w:ascii="Arial" w:hAnsi="Arial" w:cs="Arial"/>
                <w:sz w:val="20"/>
                <w:szCs w:val="20"/>
              </w:rPr>
              <w:t>49 m²</w:t>
            </w:r>
          </w:p>
        </w:tc>
      </w:tr>
      <w:tr>
        <w:tc>
          <w:tcPr>
            <w:tcW w:w="4606" w:type="dxa"/>
          </w:tcPr>
          <w:p>
            <w:pPr>
              <w:spacing w:line="360" w:lineRule="auto"/>
              <w:jc w:val="both"/>
              <w:rPr>
                <w:rFonts w:ascii="Arial" w:hAnsi="Arial" w:cs="Arial"/>
                <w:sz w:val="20"/>
                <w:szCs w:val="20"/>
              </w:rPr>
            </w:pPr>
            <w:r>
              <w:rPr>
                <w:rFonts w:ascii="Arial" w:hAnsi="Arial" w:cs="Arial"/>
                <w:sz w:val="20"/>
                <w:szCs w:val="20"/>
              </w:rPr>
              <w:t>2-Personen-Haushalt</w:t>
            </w:r>
          </w:p>
        </w:tc>
        <w:tc>
          <w:tcPr>
            <w:tcW w:w="4606" w:type="dxa"/>
          </w:tcPr>
          <w:p>
            <w:pPr>
              <w:spacing w:line="360" w:lineRule="auto"/>
              <w:jc w:val="both"/>
              <w:rPr>
                <w:rFonts w:ascii="Arial" w:hAnsi="Arial" w:cs="Arial"/>
                <w:sz w:val="20"/>
                <w:szCs w:val="20"/>
              </w:rPr>
            </w:pPr>
            <w:r>
              <w:rPr>
                <w:rFonts w:ascii="Arial" w:hAnsi="Arial" w:cs="Arial"/>
                <w:sz w:val="20"/>
                <w:szCs w:val="20"/>
              </w:rPr>
              <w:t>60 m²</w:t>
            </w:r>
          </w:p>
        </w:tc>
      </w:tr>
      <w:tr>
        <w:tc>
          <w:tcPr>
            <w:tcW w:w="4606" w:type="dxa"/>
          </w:tcPr>
          <w:p>
            <w:pPr>
              <w:spacing w:line="360" w:lineRule="auto"/>
              <w:jc w:val="both"/>
              <w:rPr>
                <w:rFonts w:ascii="Arial" w:hAnsi="Arial" w:cs="Arial"/>
                <w:sz w:val="20"/>
                <w:szCs w:val="20"/>
              </w:rPr>
            </w:pPr>
            <w:r>
              <w:rPr>
                <w:rFonts w:ascii="Arial" w:hAnsi="Arial" w:cs="Arial"/>
                <w:sz w:val="20"/>
                <w:szCs w:val="20"/>
              </w:rPr>
              <w:t>3-Personen-Haushalt</w:t>
            </w:r>
          </w:p>
        </w:tc>
        <w:tc>
          <w:tcPr>
            <w:tcW w:w="4606" w:type="dxa"/>
          </w:tcPr>
          <w:p>
            <w:pPr>
              <w:spacing w:line="360" w:lineRule="auto"/>
              <w:jc w:val="both"/>
              <w:rPr>
                <w:rFonts w:ascii="Arial" w:hAnsi="Arial" w:cs="Arial"/>
                <w:sz w:val="20"/>
                <w:szCs w:val="20"/>
              </w:rPr>
            </w:pPr>
            <w:r>
              <w:rPr>
                <w:rFonts w:ascii="Arial" w:hAnsi="Arial" w:cs="Arial"/>
                <w:sz w:val="20"/>
                <w:szCs w:val="20"/>
              </w:rPr>
              <w:t>75 m²</w:t>
            </w:r>
          </w:p>
        </w:tc>
      </w:tr>
      <w:tr>
        <w:tc>
          <w:tcPr>
            <w:tcW w:w="4606" w:type="dxa"/>
          </w:tcPr>
          <w:p>
            <w:pPr>
              <w:spacing w:line="360" w:lineRule="auto"/>
              <w:jc w:val="both"/>
              <w:rPr>
                <w:rFonts w:ascii="Arial" w:hAnsi="Arial" w:cs="Arial"/>
                <w:sz w:val="20"/>
                <w:szCs w:val="20"/>
              </w:rPr>
            </w:pPr>
            <w:r>
              <w:rPr>
                <w:rFonts w:ascii="Arial" w:hAnsi="Arial" w:cs="Arial"/>
                <w:sz w:val="20"/>
                <w:szCs w:val="20"/>
              </w:rPr>
              <w:t>4-Personen-Haushalt</w:t>
            </w:r>
          </w:p>
        </w:tc>
        <w:tc>
          <w:tcPr>
            <w:tcW w:w="4606" w:type="dxa"/>
          </w:tcPr>
          <w:p>
            <w:pPr>
              <w:spacing w:line="360" w:lineRule="auto"/>
              <w:jc w:val="both"/>
              <w:rPr>
                <w:rFonts w:ascii="Arial" w:hAnsi="Arial" w:cs="Arial"/>
                <w:sz w:val="20"/>
                <w:szCs w:val="20"/>
              </w:rPr>
            </w:pPr>
            <w:r>
              <w:rPr>
                <w:rFonts w:ascii="Arial" w:hAnsi="Arial" w:cs="Arial"/>
                <w:sz w:val="20"/>
                <w:szCs w:val="20"/>
              </w:rPr>
              <w:t>90 m²</w:t>
            </w:r>
          </w:p>
        </w:tc>
      </w:tr>
      <w:tr>
        <w:tc>
          <w:tcPr>
            <w:tcW w:w="4606" w:type="dxa"/>
          </w:tcPr>
          <w:p>
            <w:pPr>
              <w:spacing w:line="360" w:lineRule="auto"/>
              <w:jc w:val="both"/>
              <w:rPr>
                <w:rFonts w:ascii="Arial" w:hAnsi="Arial" w:cs="Arial"/>
                <w:sz w:val="20"/>
                <w:szCs w:val="20"/>
              </w:rPr>
            </w:pPr>
            <w:r>
              <w:rPr>
                <w:rFonts w:ascii="Arial" w:hAnsi="Arial" w:cs="Arial"/>
                <w:sz w:val="20"/>
                <w:szCs w:val="20"/>
              </w:rPr>
              <w:t>5-Personen-Haushalt</w:t>
            </w:r>
          </w:p>
        </w:tc>
        <w:tc>
          <w:tcPr>
            <w:tcW w:w="4606" w:type="dxa"/>
          </w:tcPr>
          <w:p>
            <w:pPr>
              <w:spacing w:line="360" w:lineRule="auto"/>
              <w:jc w:val="both"/>
              <w:rPr>
                <w:rFonts w:ascii="Arial" w:hAnsi="Arial" w:cs="Arial"/>
                <w:sz w:val="20"/>
                <w:szCs w:val="20"/>
              </w:rPr>
            </w:pPr>
            <w:r>
              <w:rPr>
                <w:rFonts w:ascii="Arial" w:hAnsi="Arial" w:cs="Arial"/>
                <w:sz w:val="20"/>
                <w:szCs w:val="20"/>
              </w:rPr>
              <w:t>105 m²</w:t>
            </w:r>
          </w:p>
        </w:tc>
      </w:tr>
      <w:tr>
        <w:tc>
          <w:tcPr>
            <w:tcW w:w="4606" w:type="dxa"/>
          </w:tcPr>
          <w:p>
            <w:pPr>
              <w:spacing w:line="360" w:lineRule="auto"/>
              <w:jc w:val="both"/>
              <w:rPr>
                <w:rFonts w:ascii="Arial" w:hAnsi="Arial" w:cs="Arial"/>
                <w:sz w:val="20"/>
                <w:szCs w:val="20"/>
              </w:rPr>
            </w:pPr>
            <w:r>
              <w:rPr>
                <w:rFonts w:ascii="Arial" w:hAnsi="Arial" w:cs="Arial"/>
                <w:sz w:val="20"/>
                <w:szCs w:val="20"/>
              </w:rPr>
              <w:t>jede weitere Person</w:t>
            </w:r>
          </w:p>
        </w:tc>
        <w:tc>
          <w:tcPr>
            <w:tcW w:w="4606" w:type="dxa"/>
          </w:tcPr>
          <w:p>
            <w:pPr>
              <w:spacing w:line="360" w:lineRule="auto"/>
              <w:jc w:val="both"/>
              <w:rPr>
                <w:rFonts w:ascii="Arial" w:hAnsi="Arial" w:cs="Arial"/>
                <w:sz w:val="20"/>
                <w:szCs w:val="20"/>
              </w:rPr>
            </w:pPr>
            <w:r>
              <w:rPr>
                <w:rFonts w:ascii="Arial" w:hAnsi="Arial" w:cs="Arial"/>
                <w:sz w:val="20"/>
                <w:szCs w:val="20"/>
              </w:rPr>
              <w:t>zusätzlich 15 m²</w:t>
            </w:r>
          </w:p>
        </w:tc>
      </w:tr>
    </w:tbl>
    <w:p>
      <w:pPr>
        <w:spacing w:line="360" w:lineRule="auto"/>
        <w:jc w:val="both"/>
        <w:rPr>
          <w:rFonts w:ascii="Arial" w:hAnsi="Arial" w:cs="Arial"/>
        </w:rPr>
      </w:pPr>
    </w:p>
    <w:p>
      <w:pPr>
        <w:pStyle w:val="Listenabsatz"/>
        <w:numPr>
          <w:ilvl w:val="0"/>
          <w:numId w:val="15"/>
        </w:numPr>
        <w:spacing w:line="360" w:lineRule="auto"/>
        <w:jc w:val="both"/>
        <w:rPr>
          <w:rFonts w:ascii="Arial" w:hAnsi="Arial" w:cs="Arial"/>
        </w:rPr>
      </w:pPr>
      <w:r>
        <w:rPr>
          <w:rFonts w:ascii="Arial" w:hAnsi="Arial" w:cs="Arial"/>
          <w:b/>
        </w:rPr>
        <w:t>Nettokaltmiete und kalte Betriebskosten</w:t>
      </w:r>
    </w:p>
    <w:p>
      <w:pPr>
        <w:spacing w:line="360" w:lineRule="auto"/>
        <w:jc w:val="both"/>
        <w:rPr>
          <w:rFonts w:ascii="Arial" w:hAnsi="Arial" w:cs="Arial"/>
        </w:rPr>
      </w:pPr>
      <w:r>
        <w:rPr>
          <w:rFonts w:ascii="Arial" w:hAnsi="Arial" w:cs="Arial"/>
        </w:rPr>
        <w:t>Neben der Wohnungsgröße ist bei der Angemessenheitsprüfung als weiterer Faktor der Wohnungsstandard zu berücksichtigen. Angemessen sind die Aufwendungen für eine Unterkunft dann, wenn diese nach Ausstattung, Lage und Bausubstanz einfachen und grundlegenden Bedürfnissen genügt und keinen gehobenen Wohnstandard aufweist. Das Produkt aus Wohnfläche und Standard entspricht der Nettokaltmiete pro m² Wohnfläche. Bei der Bestimmung der kalten Betriebskosten im Vergleichsraum muss nach dem Urteil des Bundessozialgerichtes vom 22.08.2012, B 14 AS 13/12 R, die Wirklichkeit abgebildet werden. Hierbei ist es zulässig, auf vorliegende Daten aus Betriebskostenübersichten zurückzugreifen, mithin auf sich daraus ergebende Durchschnittswerte.</w:t>
      </w:r>
    </w:p>
    <w:p>
      <w:pPr>
        <w:spacing w:line="360" w:lineRule="auto"/>
        <w:jc w:val="both"/>
        <w:rPr>
          <w:rFonts w:ascii="Arial" w:hAnsi="Arial" w:cs="Arial"/>
        </w:rPr>
      </w:pPr>
      <w:r>
        <w:rPr>
          <w:rFonts w:ascii="Arial" w:hAnsi="Arial" w:cs="Arial"/>
        </w:rPr>
        <w:lastRenderedPageBreak/>
        <w:t>Im Rahmen der Mietwerterhebung wurden folgende Nettokaltmieten und kalte Betriebskosten ermittelt:</w:t>
      </w:r>
    </w:p>
    <w:tbl>
      <w:tblPr>
        <w:tblStyle w:val="Tabellenraster"/>
        <w:tblW w:w="5000" w:type="pct"/>
        <w:tblLayout w:type="fixed"/>
        <w:tblLook w:val="04A0" w:firstRow="1" w:lastRow="0" w:firstColumn="1" w:lastColumn="0" w:noHBand="0" w:noVBand="1"/>
      </w:tblPr>
      <w:tblGrid>
        <w:gridCol w:w="1039"/>
        <w:gridCol w:w="1377"/>
        <w:gridCol w:w="1377"/>
        <w:gridCol w:w="1376"/>
        <w:gridCol w:w="1376"/>
        <w:gridCol w:w="1376"/>
        <w:gridCol w:w="1367"/>
      </w:tblGrid>
      <w:tr>
        <w:tc>
          <w:tcPr>
            <w:tcW w:w="5000" w:type="pct"/>
            <w:gridSpan w:val="7"/>
          </w:tcPr>
          <w:p>
            <w:pPr>
              <w:spacing w:before="60" w:after="60"/>
              <w:jc w:val="both"/>
              <w:rPr>
                <w:rFonts w:ascii="Arial" w:hAnsi="Arial" w:cs="Arial"/>
                <w:sz w:val="18"/>
                <w:szCs w:val="18"/>
              </w:rPr>
            </w:pPr>
            <w:r>
              <w:rPr>
                <w:rFonts w:ascii="Arial" w:hAnsi="Arial" w:cs="Arial"/>
                <w:sz w:val="18"/>
                <w:szCs w:val="18"/>
              </w:rPr>
              <w:t xml:space="preserve">2015: Wohnungsmarkttyp I (Am </w:t>
            </w:r>
            <w:proofErr w:type="spellStart"/>
            <w:r>
              <w:rPr>
                <w:rFonts w:ascii="Arial" w:hAnsi="Arial" w:cs="Arial"/>
                <w:sz w:val="18"/>
                <w:szCs w:val="18"/>
              </w:rPr>
              <w:t>Ohmberg</w:t>
            </w:r>
            <w:proofErr w:type="spellEnd"/>
            <w:r>
              <w:rPr>
                <w:rFonts w:ascii="Arial" w:hAnsi="Arial" w:cs="Arial"/>
                <w:sz w:val="18"/>
                <w:szCs w:val="18"/>
              </w:rPr>
              <w:t xml:space="preserve">, VG </w:t>
            </w:r>
            <w:proofErr w:type="spellStart"/>
            <w:r>
              <w:rPr>
                <w:rFonts w:ascii="Arial" w:hAnsi="Arial" w:cs="Arial"/>
                <w:sz w:val="18"/>
                <w:szCs w:val="18"/>
              </w:rPr>
              <w:t>Dingelstädt</w:t>
            </w:r>
            <w:proofErr w:type="spellEnd"/>
            <w:r>
              <w:rPr>
                <w:rFonts w:ascii="Arial" w:hAnsi="Arial" w:cs="Arial"/>
                <w:sz w:val="18"/>
                <w:szCs w:val="18"/>
              </w:rPr>
              <w:t xml:space="preserve">, VG Eichsfelder Kessel, VG </w:t>
            </w:r>
            <w:proofErr w:type="spellStart"/>
            <w:r>
              <w:rPr>
                <w:rFonts w:ascii="Arial" w:hAnsi="Arial" w:cs="Arial"/>
                <w:sz w:val="18"/>
                <w:szCs w:val="18"/>
              </w:rPr>
              <w:t>Ershausen</w:t>
            </w:r>
            <w:proofErr w:type="spellEnd"/>
            <w:r>
              <w:rPr>
                <w:rFonts w:ascii="Arial" w:hAnsi="Arial" w:cs="Arial"/>
                <w:sz w:val="18"/>
                <w:szCs w:val="18"/>
              </w:rPr>
              <w:t>/</w:t>
            </w:r>
            <w:proofErr w:type="spellStart"/>
            <w:r>
              <w:rPr>
                <w:rFonts w:ascii="Arial" w:hAnsi="Arial" w:cs="Arial"/>
                <w:sz w:val="18"/>
                <w:szCs w:val="18"/>
              </w:rPr>
              <w:t>Geismar</w:t>
            </w:r>
            <w:proofErr w:type="spellEnd"/>
            <w:r>
              <w:rPr>
                <w:rFonts w:ascii="Arial" w:hAnsi="Arial" w:cs="Arial"/>
                <w:sz w:val="18"/>
                <w:szCs w:val="18"/>
              </w:rPr>
              <w:t>, Sonnenstein und VG Westerwald-</w:t>
            </w:r>
            <w:proofErr w:type="spellStart"/>
            <w:r>
              <w:rPr>
                <w:rFonts w:ascii="Arial" w:hAnsi="Arial" w:cs="Arial"/>
                <w:sz w:val="18"/>
                <w:szCs w:val="18"/>
              </w:rPr>
              <w:t>Obereichsfeld</w:t>
            </w:r>
            <w:proofErr w:type="spellEnd"/>
            <w:r>
              <w:rPr>
                <w:rFonts w:ascii="Arial" w:hAnsi="Arial" w:cs="Arial"/>
                <w:sz w:val="18"/>
                <w:szCs w:val="18"/>
              </w:rPr>
              <w:t>)</w:t>
            </w:r>
          </w:p>
        </w:tc>
      </w:tr>
      <w:tr>
        <w:tc>
          <w:tcPr>
            <w:tcW w:w="559" w:type="pct"/>
            <w:vAlign w:val="center"/>
          </w:tcPr>
          <w:p>
            <w:pPr>
              <w:spacing w:line="276" w:lineRule="auto"/>
              <w:rPr>
                <w:rFonts w:ascii="Arial" w:hAnsi="Arial" w:cs="Arial"/>
                <w:sz w:val="18"/>
                <w:szCs w:val="18"/>
              </w:rPr>
            </w:pPr>
            <w:r>
              <w:rPr>
                <w:rFonts w:ascii="Arial" w:hAnsi="Arial" w:cs="Arial"/>
                <w:sz w:val="18"/>
                <w:szCs w:val="18"/>
              </w:rPr>
              <w:t>Größe in m²</w:t>
            </w:r>
          </w:p>
        </w:tc>
        <w:tc>
          <w:tcPr>
            <w:tcW w:w="741" w:type="pct"/>
            <w:shd w:val="clear" w:color="auto" w:fill="EAF1DD" w:themeFill="accent3" w:themeFillTint="33"/>
            <w:vAlign w:val="center"/>
          </w:tcPr>
          <w:p>
            <w:pPr>
              <w:spacing w:line="276" w:lineRule="auto"/>
              <w:rPr>
                <w:rFonts w:ascii="Arial" w:hAnsi="Arial" w:cs="Arial"/>
                <w:b/>
                <w:sz w:val="18"/>
                <w:szCs w:val="18"/>
              </w:rPr>
            </w:pPr>
            <w:r>
              <w:rPr>
                <w:rFonts w:ascii="Arial" w:hAnsi="Arial" w:cs="Arial"/>
                <w:b/>
                <w:sz w:val="18"/>
                <w:szCs w:val="18"/>
              </w:rPr>
              <w:t>Personen-anzahl</w:t>
            </w:r>
          </w:p>
        </w:tc>
        <w:tc>
          <w:tcPr>
            <w:tcW w:w="741" w:type="pct"/>
            <w:vAlign w:val="center"/>
          </w:tcPr>
          <w:p>
            <w:pPr>
              <w:spacing w:line="276" w:lineRule="auto"/>
              <w:rPr>
                <w:rFonts w:ascii="Arial" w:hAnsi="Arial" w:cs="Arial"/>
                <w:sz w:val="18"/>
                <w:szCs w:val="18"/>
              </w:rPr>
            </w:pPr>
            <w:r>
              <w:rPr>
                <w:rFonts w:ascii="Arial" w:hAnsi="Arial" w:cs="Arial"/>
                <w:sz w:val="18"/>
                <w:szCs w:val="18"/>
              </w:rPr>
              <w:t>Netto-</w:t>
            </w:r>
            <w:proofErr w:type="spellStart"/>
            <w:r>
              <w:rPr>
                <w:rFonts w:ascii="Arial" w:hAnsi="Arial" w:cs="Arial"/>
                <w:sz w:val="18"/>
                <w:szCs w:val="18"/>
              </w:rPr>
              <w:t>kaltmiete</w:t>
            </w:r>
            <w:proofErr w:type="spellEnd"/>
            <w:r>
              <w:rPr>
                <w:rFonts w:ascii="Arial" w:hAnsi="Arial" w:cs="Arial"/>
                <w:sz w:val="18"/>
                <w:szCs w:val="18"/>
              </w:rPr>
              <w:br/>
              <w:t>in €/m²</w:t>
            </w:r>
          </w:p>
        </w:tc>
        <w:tc>
          <w:tcPr>
            <w:tcW w:w="741" w:type="pct"/>
            <w:shd w:val="clear" w:color="auto" w:fill="EAF1DD" w:themeFill="accent3" w:themeFillTint="33"/>
            <w:vAlign w:val="center"/>
          </w:tcPr>
          <w:p>
            <w:pPr>
              <w:spacing w:line="276" w:lineRule="auto"/>
              <w:rPr>
                <w:rFonts w:ascii="Arial" w:hAnsi="Arial" w:cs="Arial"/>
                <w:b/>
                <w:sz w:val="18"/>
                <w:szCs w:val="18"/>
              </w:rPr>
            </w:pPr>
            <w:r>
              <w:rPr>
                <w:rFonts w:ascii="Arial" w:hAnsi="Arial" w:cs="Arial"/>
                <w:b/>
                <w:sz w:val="18"/>
                <w:szCs w:val="18"/>
              </w:rPr>
              <w:t>Netto-</w:t>
            </w:r>
            <w:proofErr w:type="spellStart"/>
            <w:r>
              <w:rPr>
                <w:rFonts w:ascii="Arial" w:hAnsi="Arial" w:cs="Arial"/>
                <w:b/>
                <w:sz w:val="18"/>
                <w:szCs w:val="18"/>
              </w:rPr>
              <w:t>kaltmiete</w:t>
            </w:r>
            <w:proofErr w:type="spellEnd"/>
            <w:r>
              <w:rPr>
                <w:rFonts w:ascii="Arial" w:hAnsi="Arial" w:cs="Arial"/>
                <w:b/>
                <w:sz w:val="18"/>
                <w:szCs w:val="18"/>
              </w:rPr>
              <w:br/>
              <w:t>in €</w:t>
            </w:r>
          </w:p>
        </w:tc>
        <w:tc>
          <w:tcPr>
            <w:tcW w:w="741" w:type="pct"/>
            <w:vAlign w:val="center"/>
          </w:tcPr>
          <w:p>
            <w:pPr>
              <w:spacing w:line="276" w:lineRule="auto"/>
              <w:rPr>
                <w:rFonts w:ascii="Arial" w:hAnsi="Arial" w:cs="Arial"/>
                <w:sz w:val="18"/>
                <w:szCs w:val="18"/>
              </w:rPr>
            </w:pPr>
            <w:r>
              <w:rPr>
                <w:rFonts w:ascii="Arial" w:hAnsi="Arial" w:cs="Arial"/>
                <w:sz w:val="18"/>
                <w:szCs w:val="18"/>
              </w:rPr>
              <w:t>Kalte Betriebs-kosten in €/m²</w:t>
            </w:r>
          </w:p>
        </w:tc>
        <w:tc>
          <w:tcPr>
            <w:tcW w:w="741" w:type="pct"/>
            <w:shd w:val="clear" w:color="auto" w:fill="EAF1DD" w:themeFill="accent3" w:themeFillTint="33"/>
            <w:vAlign w:val="center"/>
          </w:tcPr>
          <w:p>
            <w:pPr>
              <w:spacing w:line="276" w:lineRule="auto"/>
              <w:rPr>
                <w:rFonts w:ascii="Arial" w:hAnsi="Arial" w:cs="Arial"/>
                <w:b/>
                <w:sz w:val="18"/>
                <w:szCs w:val="18"/>
              </w:rPr>
            </w:pPr>
            <w:r>
              <w:rPr>
                <w:rFonts w:ascii="Arial" w:hAnsi="Arial" w:cs="Arial"/>
                <w:b/>
                <w:sz w:val="18"/>
                <w:szCs w:val="18"/>
              </w:rPr>
              <w:t>Kalte Betriebs-kosten in €</w:t>
            </w:r>
          </w:p>
        </w:tc>
        <w:tc>
          <w:tcPr>
            <w:tcW w:w="736" w:type="pct"/>
            <w:vAlign w:val="center"/>
          </w:tcPr>
          <w:p>
            <w:pPr>
              <w:spacing w:line="276" w:lineRule="auto"/>
              <w:rPr>
                <w:rFonts w:ascii="Arial" w:hAnsi="Arial" w:cs="Arial"/>
                <w:sz w:val="18"/>
                <w:szCs w:val="18"/>
              </w:rPr>
            </w:pPr>
            <w:r>
              <w:rPr>
                <w:rFonts w:ascii="Arial" w:hAnsi="Arial" w:cs="Arial"/>
                <w:sz w:val="18"/>
                <w:szCs w:val="18"/>
              </w:rPr>
              <w:t>Brutto-</w:t>
            </w:r>
            <w:proofErr w:type="spellStart"/>
            <w:r>
              <w:rPr>
                <w:rFonts w:ascii="Arial" w:hAnsi="Arial" w:cs="Arial"/>
                <w:sz w:val="18"/>
                <w:szCs w:val="18"/>
              </w:rPr>
              <w:t>kaltmiete</w:t>
            </w:r>
            <w:proofErr w:type="spellEnd"/>
            <w:r>
              <w:rPr>
                <w:rFonts w:ascii="Arial" w:hAnsi="Arial" w:cs="Arial"/>
                <w:sz w:val="18"/>
                <w:szCs w:val="18"/>
              </w:rPr>
              <w:br/>
              <w:t>in €</w:t>
            </w:r>
          </w:p>
        </w:tc>
      </w:tr>
      <w:tr>
        <w:tc>
          <w:tcPr>
            <w:tcW w:w="559" w:type="pct"/>
          </w:tcPr>
          <w:p>
            <w:pPr>
              <w:spacing w:before="120" w:after="120" w:line="276" w:lineRule="auto"/>
              <w:jc w:val="both"/>
              <w:rPr>
                <w:rFonts w:ascii="Arial" w:hAnsi="Arial" w:cs="Arial"/>
                <w:sz w:val="18"/>
                <w:szCs w:val="18"/>
              </w:rPr>
            </w:pPr>
            <w:r>
              <w:rPr>
                <w:rFonts w:ascii="Arial" w:hAnsi="Arial" w:cs="Arial"/>
                <w:sz w:val="18"/>
                <w:szCs w:val="18"/>
              </w:rPr>
              <w:t>bis 49</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1</w:t>
            </w:r>
          </w:p>
        </w:tc>
        <w:tc>
          <w:tcPr>
            <w:tcW w:w="741" w:type="pct"/>
            <w:vAlign w:val="center"/>
          </w:tcPr>
          <w:p>
            <w:pPr>
              <w:spacing w:before="120" w:after="120"/>
              <w:rPr>
                <w:rFonts w:ascii="Arial" w:hAnsi="Arial" w:cs="Arial"/>
                <w:sz w:val="18"/>
                <w:szCs w:val="18"/>
              </w:rPr>
            </w:pPr>
            <w:r>
              <w:rPr>
                <w:rFonts w:ascii="Arial" w:hAnsi="Arial" w:cs="Arial"/>
                <w:sz w:val="18"/>
                <w:szCs w:val="18"/>
              </w:rPr>
              <w:t>4,41</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216,09</w:t>
            </w:r>
          </w:p>
        </w:tc>
        <w:tc>
          <w:tcPr>
            <w:tcW w:w="741" w:type="pct"/>
            <w:vAlign w:val="center"/>
          </w:tcPr>
          <w:p>
            <w:pPr>
              <w:spacing w:before="120" w:after="120"/>
              <w:rPr>
                <w:rFonts w:ascii="Arial" w:hAnsi="Arial" w:cs="Arial"/>
                <w:sz w:val="18"/>
                <w:szCs w:val="18"/>
              </w:rPr>
            </w:pPr>
            <w:r>
              <w:rPr>
                <w:rFonts w:ascii="Arial" w:hAnsi="Arial" w:cs="Arial"/>
                <w:sz w:val="18"/>
                <w:szCs w:val="18"/>
              </w:rPr>
              <w:t>0,97</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47,53</w:t>
            </w:r>
          </w:p>
        </w:tc>
        <w:tc>
          <w:tcPr>
            <w:tcW w:w="736" w:type="pct"/>
            <w:vAlign w:val="center"/>
          </w:tcPr>
          <w:p>
            <w:pPr>
              <w:spacing w:before="120" w:after="120"/>
              <w:rPr>
                <w:rFonts w:ascii="Arial" w:hAnsi="Arial" w:cs="Arial"/>
                <w:sz w:val="18"/>
                <w:szCs w:val="18"/>
              </w:rPr>
            </w:pPr>
            <w:r>
              <w:rPr>
                <w:rFonts w:ascii="Arial" w:hAnsi="Arial" w:cs="Arial"/>
                <w:sz w:val="18"/>
                <w:szCs w:val="18"/>
              </w:rPr>
              <w:t>263,62</w:t>
            </w:r>
          </w:p>
        </w:tc>
      </w:tr>
      <w:tr>
        <w:tc>
          <w:tcPr>
            <w:tcW w:w="559" w:type="pct"/>
          </w:tcPr>
          <w:p>
            <w:pPr>
              <w:spacing w:line="276" w:lineRule="auto"/>
              <w:jc w:val="both"/>
              <w:rPr>
                <w:rFonts w:ascii="Arial" w:hAnsi="Arial" w:cs="Arial"/>
                <w:sz w:val="18"/>
                <w:szCs w:val="18"/>
              </w:rPr>
            </w:pPr>
            <w:r>
              <w:rPr>
                <w:rFonts w:ascii="Arial" w:hAnsi="Arial" w:cs="Arial"/>
                <w:sz w:val="18"/>
                <w:szCs w:val="18"/>
              </w:rPr>
              <w:t>49 bis zu 60</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2</w:t>
            </w:r>
          </w:p>
        </w:tc>
        <w:tc>
          <w:tcPr>
            <w:tcW w:w="741" w:type="pct"/>
            <w:vAlign w:val="center"/>
          </w:tcPr>
          <w:p>
            <w:pPr>
              <w:rPr>
                <w:rFonts w:ascii="Arial" w:hAnsi="Arial" w:cs="Arial"/>
                <w:sz w:val="18"/>
                <w:szCs w:val="18"/>
              </w:rPr>
            </w:pPr>
            <w:r>
              <w:rPr>
                <w:rFonts w:ascii="Arial" w:hAnsi="Arial" w:cs="Arial"/>
                <w:sz w:val="18"/>
                <w:szCs w:val="18"/>
              </w:rPr>
              <w:t>4,47</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268,20</w:t>
            </w:r>
          </w:p>
        </w:tc>
        <w:tc>
          <w:tcPr>
            <w:tcW w:w="741" w:type="pct"/>
            <w:vAlign w:val="center"/>
          </w:tcPr>
          <w:p>
            <w:pPr>
              <w:rPr>
                <w:rFonts w:ascii="Arial" w:hAnsi="Arial" w:cs="Arial"/>
                <w:sz w:val="18"/>
                <w:szCs w:val="18"/>
              </w:rPr>
            </w:pPr>
            <w:r>
              <w:rPr>
                <w:rFonts w:ascii="Arial" w:hAnsi="Arial" w:cs="Arial"/>
                <w:sz w:val="18"/>
                <w:szCs w:val="18"/>
              </w:rPr>
              <w:t>1,03</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61,80</w:t>
            </w:r>
          </w:p>
        </w:tc>
        <w:tc>
          <w:tcPr>
            <w:tcW w:w="736" w:type="pct"/>
            <w:vAlign w:val="center"/>
          </w:tcPr>
          <w:p>
            <w:pPr>
              <w:rPr>
                <w:rFonts w:ascii="Arial" w:hAnsi="Arial" w:cs="Arial"/>
                <w:sz w:val="18"/>
                <w:szCs w:val="18"/>
              </w:rPr>
            </w:pPr>
            <w:r>
              <w:rPr>
                <w:rFonts w:ascii="Arial" w:hAnsi="Arial" w:cs="Arial"/>
                <w:sz w:val="18"/>
                <w:szCs w:val="18"/>
              </w:rPr>
              <w:t>330,00</w:t>
            </w:r>
          </w:p>
        </w:tc>
      </w:tr>
      <w:tr>
        <w:tc>
          <w:tcPr>
            <w:tcW w:w="559" w:type="pct"/>
          </w:tcPr>
          <w:p>
            <w:pPr>
              <w:spacing w:line="276" w:lineRule="auto"/>
              <w:jc w:val="both"/>
              <w:rPr>
                <w:rFonts w:ascii="Arial" w:hAnsi="Arial" w:cs="Arial"/>
                <w:sz w:val="18"/>
                <w:szCs w:val="18"/>
              </w:rPr>
            </w:pPr>
            <w:r>
              <w:rPr>
                <w:rFonts w:ascii="Arial" w:hAnsi="Arial" w:cs="Arial"/>
                <w:sz w:val="18"/>
                <w:szCs w:val="18"/>
              </w:rPr>
              <w:t>60 bis zu 75</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3</w:t>
            </w:r>
          </w:p>
        </w:tc>
        <w:tc>
          <w:tcPr>
            <w:tcW w:w="741" w:type="pct"/>
            <w:vAlign w:val="center"/>
          </w:tcPr>
          <w:p>
            <w:pPr>
              <w:rPr>
                <w:rFonts w:ascii="Arial" w:hAnsi="Arial" w:cs="Arial"/>
                <w:sz w:val="18"/>
                <w:szCs w:val="18"/>
              </w:rPr>
            </w:pPr>
            <w:r>
              <w:rPr>
                <w:rFonts w:ascii="Arial" w:hAnsi="Arial" w:cs="Arial"/>
                <w:sz w:val="18"/>
                <w:szCs w:val="18"/>
              </w:rPr>
              <w:t>4,30</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322,50</w:t>
            </w:r>
          </w:p>
        </w:tc>
        <w:tc>
          <w:tcPr>
            <w:tcW w:w="741" w:type="pct"/>
            <w:vAlign w:val="center"/>
          </w:tcPr>
          <w:p>
            <w:pPr>
              <w:rPr>
                <w:rFonts w:ascii="Arial" w:hAnsi="Arial" w:cs="Arial"/>
                <w:sz w:val="18"/>
                <w:szCs w:val="18"/>
              </w:rPr>
            </w:pPr>
            <w:r>
              <w:rPr>
                <w:rFonts w:ascii="Arial" w:hAnsi="Arial" w:cs="Arial"/>
                <w:sz w:val="18"/>
                <w:szCs w:val="18"/>
              </w:rPr>
              <w:t>1,05</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78,75</w:t>
            </w:r>
          </w:p>
        </w:tc>
        <w:tc>
          <w:tcPr>
            <w:tcW w:w="736" w:type="pct"/>
            <w:vAlign w:val="center"/>
          </w:tcPr>
          <w:p>
            <w:pPr>
              <w:rPr>
                <w:rFonts w:ascii="Arial" w:hAnsi="Arial" w:cs="Arial"/>
                <w:sz w:val="18"/>
                <w:szCs w:val="18"/>
              </w:rPr>
            </w:pPr>
            <w:r>
              <w:rPr>
                <w:rFonts w:ascii="Arial" w:hAnsi="Arial" w:cs="Arial"/>
                <w:sz w:val="18"/>
                <w:szCs w:val="18"/>
              </w:rPr>
              <w:t>401,25</w:t>
            </w:r>
          </w:p>
        </w:tc>
      </w:tr>
      <w:tr>
        <w:tc>
          <w:tcPr>
            <w:tcW w:w="559" w:type="pct"/>
          </w:tcPr>
          <w:p>
            <w:pPr>
              <w:jc w:val="both"/>
              <w:rPr>
                <w:rFonts w:ascii="Arial" w:hAnsi="Arial" w:cs="Arial"/>
                <w:sz w:val="18"/>
                <w:szCs w:val="18"/>
              </w:rPr>
            </w:pPr>
            <w:r>
              <w:rPr>
                <w:rFonts w:ascii="Arial" w:hAnsi="Arial" w:cs="Arial"/>
                <w:sz w:val="18"/>
                <w:szCs w:val="18"/>
              </w:rPr>
              <w:t>75 bis zu 90</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4</w:t>
            </w:r>
          </w:p>
        </w:tc>
        <w:tc>
          <w:tcPr>
            <w:tcW w:w="741" w:type="pct"/>
            <w:vAlign w:val="center"/>
          </w:tcPr>
          <w:p>
            <w:pPr>
              <w:rPr>
                <w:rFonts w:ascii="Arial" w:hAnsi="Arial" w:cs="Arial"/>
                <w:sz w:val="18"/>
                <w:szCs w:val="18"/>
              </w:rPr>
            </w:pPr>
            <w:r>
              <w:rPr>
                <w:rFonts w:ascii="Arial" w:hAnsi="Arial" w:cs="Arial"/>
                <w:sz w:val="18"/>
                <w:szCs w:val="18"/>
              </w:rPr>
              <w:t>4,09</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368,10</w:t>
            </w:r>
          </w:p>
        </w:tc>
        <w:tc>
          <w:tcPr>
            <w:tcW w:w="741" w:type="pct"/>
            <w:vAlign w:val="center"/>
          </w:tcPr>
          <w:p>
            <w:pPr>
              <w:rPr>
                <w:rFonts w:ascii="Arial" w:hAnsi="Arial" w:cs="Arial"/>
                <w:sz w:val="18"/>
                <w:szCs w:val="18"/>
              </w:rPr>
            </w:pPr>
            <w:r>
              <w:rPr>
                <w:rFonts w:ascii="Arial" w:hAnsi="Arial" w:cs="Arial"/>
                <w:sz w:val="18"/>
                <w:szCs w:val="18"/>
              </w:rPr>
              <w:t>1,12</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100,80</w:t>
            </w:r>
          </w:p>
        </w:tc>
        <w:tc>
          <w:tcPr>
            <w:tcW w:w="736" w:type="pct"/>
            <w:vAlign w:val="center"/>
          </w:tcPr>
          <w:p>
            <w:pPr>
              <w:rPr>
                <w:rFonts w:ascii="Arial" w:hAnsi="Arial" w:cs="Arial"/>
                <w:sz w:val="18"/>
                <w:szCs w:val="18"/>
              </w:rPr>
            </w:pPr>
            <w:r>
              <w:rPr>
                <w:rFonts w:ascii="Arial" w:hAnsi="Arial" w:cs="Arial"/>
                <w:sz w:val="18"/>
                <w:szCs w:val="18"/>
              </w:rPr>
              <w:t>468,90</w:t>
            </w:r>
          </w:p>
        </w:tc>
      </w:tr>
      <w:tr>
        <w:tc>
          <w:tcPr>
            <w:tcW w:w="559" w:type="pct"/>
          </w:tcPr>
          <w:p>
            <w:pPr>
              <w:jc w:val="both"/>
              <w:rPr>
                <w:rFonts w:ascii="Arial" w:hAnsi="Arial" w:cs="Arial"/>
                <w:sz w:val="18"/>
                <w:szCs w:val="18"/>
              </w:rPr>
            </w:pPr>
            <w:r>
              <w:rPr>
                <w:rFonts w:ascii="Arial" w:hAnsi="Arial" w:cs="Arial"/>
                <w:sz w:val="18"/>
                <w:szCs w:val="18"/>
              </w:rPr>
              <w:t>90 bis zu 105</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5</w:t>
            </w:r>
          </w:p>
        </w:tc>
        <w:tc>
          <w:tcPr>
            <w:tcW w:w="741" w:type="pct"/>
            <w:vAlign w:val="center"/>
          </w:tcPr>
          <w:p>
            <w:pPr>
              <w:rPr>
                <w:rFonts w:ascii="Arial" w:hAnsi="Arial" w:cs="Arial"/>
                <w:sz w:val="18"/>
                <w:szCs w:val="18"/>
              </w:rPr>
            </w:pPr>
            <w:r>
              <w:rPr>
                <w:rFonts w:ascii="Arial" w:hAnsi="Arial" w:cs="Arial"/>
                <w:sz w:val="18"/>
                <w:szCs w:val="18"/>
              </w:rPr>
              <w:t>3,63</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381,15</w:t>
            </w:r>
          </w:p>
        </w:tc>
        <w:tc>
          <w:tcPr>
            <w:tcW w:w="741" w:type="pct"/>
            <w:vAlign w:val="center"/>
          </w:tcPr>
          <w:p>
            <w:pPr>
              <w:rPr>
                <w:rFonts w:ascii="Arial" w:hAnsi="Arial" w:cs="Arial"/>
                <w:sz w:val="18"/>
                <w:szCs w:val="18"/>
              </w:rPr>
            </w:pPr>
            <w:r>
              <w:rPr>
                <w:rFonts w:ascii="Arial" w:hAnsi="Arial" w:cs="Arial"/>
                <w:sz w:val="18"/>
                <w:szCs w:val="18"/>
              </w:rPr>
              <w:t>1,04</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109,20</w:t>
            </w:r>
          </w:p>
        </w:tc>
        <w:tc>
          <w:tcPr>
            <w:tcW w:w="736" w:type="pct"/>
            <w:vAlign w:val="center"/>
          </w:tcPr>
          <w:p>
            <w:pPr>
              <w:rPr>
                <w:rFonts w:ascii="Arial" w:hAnsi="Arial" w:cs="Arial"/>
                <w:sz w:val="18"/>
                <w:szCs w:val="18"/>
              </w:rPr>
            </w:pPr>
            <w:r>
              <w:rPr>
                <w:rFonts w:ascii="Arial" w:hAnsi="Arial" w:cs="Arial"/>
                <w:sz w:val="18"/>
                <w:szCs w:val="18"/>
              </w:rPr>
              <w:t>490,35</w:t>
            </w:r>
          </w:p>
        </w:tc>
      </w:tr>
      <w:tr>
        <w:tc>
          <w:tcPr>
            <w:tcW w:w="559" w:type="pct"/>
          </w:tcPr>
          <w:p>
            <w:pPr>
              <w:spacing w:before="120" w:after="120"/>
              <w:jc w:val="both"/>
              <w:rPr>
                <w:rFonts w:ascii="Arial" w:hAnsi="Arial" w:cs="Arial"/>
                <w:sz w:val="18"/>
                <w:szCs w:val="18"/>
              </w:rPr>
            </w:pPr>
            <w:r>
              <w:rPr>
                <w:rFonts w:ascii="Arial" w:hAnsi="Arial" w:cs="Arial"/>
                <w:sz w:val="18"/>
                <w:szCs w:val="18"/>
              </w:rPr>
              <w:t>+15</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Jede weitere</w:t>
            </w:r>
          </w:p>
        </w:tc>
        <w:tc>
          <w:tcPr>
            <w:tcW w:w="741" w:type="pct"/>
            <w:vAlign w:val="center"/>
          </w:tcPr>
          <w:p>
            <w:pPr>
              <w:spacing w:before="120" w:after="120"/>
              <w:rPr>
                <w:rFonts w:ascii="Arial" w:hAnsi="Arial" w:cs="Arial"/>
                <w:sz w:val="18"/>
                <w:szCs w:val="18"/>
              </w:rPr>
            </w:pPr>
            <w:r>
              <w:rPr>
                <w:rFonts w:ascii="Arial" w:hAnsi="Arial" w:cs="Arial"/>
                <w:sz w:val="18"/>
                <w:szCs w:val="18"/>
              </w:rPr>
              <w:t>3,63</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+ 54,45</w:t>
            </w:r>
          </w:p>
        </w:tc>
        <w:tc>
          <w:tcPr>
            <w:tcW w:w="741" w:type="pct"/>
            <w:vAlign w:val="center"/>
          </w:tcPr>
          <w:p>
            <w:pPr>
              <w:spacing w:before="120" w:after="120"/>
              <w:rPr>
                <w:rFonts w:ascii="Arial" w:hAnsi="Arial" w:cs="Arial"/>
                <w:sz w:val="18"/>
                <w:szCs w:val="18"/>
              </w:rPr>
            </w:pPr>
            <w:r>
              <w:rPr>
                <w:rFonts w:ascii="Arial" w:hAnsi="Arial" w:cs="Arial"/>
                <w:sz w:val="18"/>
                <w:szCs w:val="18"/>
              </w:rPr>
              <w:t>1,04</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+ 15,60</w:t>
            </w:r>
          </w:p>
        </w:tc>
        <w:tc>
          <w:tcPr>
            <w:tcW w:w="736" w:type="pct"/>
            <w:vAlign w:val="center"/>
          </w:tcPr>
          <w:p>
            <w:pPr>
              <w:spacing w:before="120" w:after="120"/>
              <w:rPr>
                <w:rFonts w:ascii="Arial" w:hAnsi="Arial" w:cs="Arial"/>
                <w:sz w:val="18"/>
                <w:szCs w:val="18"/>
              </w:rPr>
            </w:pPr>
            <w:r>
              <w:rPr>
                <w:rFonts w:ascii="Arial" w:hAnsi="Arial" w:cs="Arial"/>
                <w:sz w:val="18"/>
                <w:szCs w:val="18"/>
              </w:rPr>
              <w:t>+ 70,05</w:t>
            </w:r>
          </w:p>
        </w:tc>
      </w:tr>
    </w:tbl>
    <w:p>
      <w:pPr>
        <w:jc w:val="both"/>
        <w:rPr>
          <w:rFonts w:ascii="Arial" w:hAnsi="Arial" w:cs="Arial"/>
          <w:sz w:val="18"/>
          <w:szCs w:val="18"/>
        </w:rPr>
      </w:pPr>
    </w:p>
    <w:tbl>
      <w:tblPr>
        <w:tblStyle w:val="Tabellenraster"/>
        <w:tblW w:w="5000" w:type="pct"/>
        <w:tblLayout w:type="fixed"/>
        <w:tblLook w:val="04A0" w:firstRow="1" w:lastRow="0" w:firstColumn="1" w:lastColumn="0" w:noHBand="0" w:noVBand="1"/>
      </w:tblPr>
      <w:tblGrid>
        <w:gridCol w:w="1039"/>
        <w:gridCol w:w="1377"/>
        <w:gridCol w:w="1377"/>
        <w:gridCol w:w="1376"/>
        <w:gridCol w:w="1376"/>
        <w:gridCol w:w="1376"/>
        <w:gridCol w:w="1367"/>
      </w:tblGrid>
      <w:tr>
        <w:tc>
          <w:tcPr>
            <w:tcW w:w="5000" w:type="pct"/>
            <w:gridSpan w:val="7"/>
          </w:tcPr>
          <w:p>
            <w:pPr>
              <w:spacing w:before="60" w:after="60"/>
              <w:jc w:val="both"/>
              <w:rPr>
                <w:rFonts w:ascii="Arial" w:hAnsi="Arial" w:cs="Arial"/>
                <w:sz w:val="18"/>
                <w:szCs w:val="18"/>
              </w:rPr>
            </w:pPr>
            <w:r>
              <w:rPr>
                <w:rFonts w:ascii="Arial" w:hAnsi="Arial" w:cs="Arial"/>
                <w:sz w:val="18"/>
                <w:szCs w:val="18"/>
              </w:rPr>
              <w:t>2015: Wohnungsmarkttyp II (VG Eichsfeld-</w:t>
            </w:r>
            <w:proofErr w:type="spellStart"/>
            <w:r>
              <w:rPr>
                <w:rFonts w:ascii="Arial" w:hAnsi="Arial" w:cs="Arial"/>
                <w:sz w:val="18"/>
                <w:szCs w:val="18"/>
              </w:rPr>
              <w:t>Wipperaue</w:t>
            </w:r>
            <w:proofErr w:type="spellEnd"/>
            <w:r>
              <w:rPr>
                <w:rFonts w:ascii="Arial" w:hAnsi="Arial" w:cs="Arial"/>
                <w:sz w:val="18"/>
                <w:szCs w:val="18"/>
              </w:rPr>
              <w:t xml:space="preserve">, VG </w:t>
            </w:r>
            <w:proofErr w:type="spellStart"/>
            <w:r>
              <w:rPr>
                <w:rFonts w:ascii="Arial" w:hAnsi="Arial" w:cs="Arial"/>
                <w:sz w:val="18"/>
                <w:szCs w:val="18"/>
              </w:rPr>
              <w:t>Hanstein-Rusteberg</w:t>
            </w:r>
            <w:proofErr w:type="spellEnd"/>
            <w:r>
              <w:rPr>
                <w:rFonts w:ascii="Arial" w:hAnsi="Arial" w:cs="Arial"/>
                <w:sz w:val="18"/>
                <w:szCs w:val="18"/>
              </w:rPr>
              <w:t xml:space="preserve">, VG </w:t>
            </w:r>
            <w:proofErr w:type="spellStart"/>
            <w:r>
              <w:rPr>
                <w:rFonts w:ascii="Arial" w:hAnsi="Arial" w:cs="Arial"/>
                <w:sz w:val="18"/>
                <w:szCs w:val="18"/>
              </w:rPr>
              <w:t>Leinetal</w:t>
            </w:r>
            <w:proofErr w:type="spellEnd"/>
            <w:r>
              <w:rPr>
                <w:rFonts w:ascii="Arial" w:hAnsi="Arial" w:cs="Arial"/>
                <w:sz w:val="18"/>
                <w:szCs w:val="18"/>
              </w:rPr>
              <w:t xml:space="preserve">, VG Lindenberg/ Eichsfeld und VG </w:t>
            </w:r>
            <w:proofErr w:type="spellStart"/>
            <w:r>
              <w:rPr>
                <w:rFonts w:ascii="Arial" w:hAnsi="Arial" w:cs="Arial"/>
                <w:sz w:val="18"/>
                <w:szCs w:val="18"/>
              </w:rPr>
              <w:t>Uder</w:t>
            </w:r>
            <w:proofErr w:type="spellEnd"/>
            <w:r>
              <w:rPr>
                <w:rFonts w:ascii="Arial" w:hAnsi="Arial" w:cs="Arial"/>
                <w:sz w:val="18"/>
                <w:szCs w:val="18"/>
              </w:rPr>
              <w:t>)</w:t>
            </w:r>
          </w:p>
        </w:tc>
      </w:tr>
      <w:tr>
        <w:tc>
          <w:tcPr>
            <w:tcW w:w="559" w:type="pct"/>
            <w:vAlign w:val="center"/>
          </w:tcPr>
          <w:p>
            <w:pPr>
              <w:rPr>
                <w:rFonts w:ascii="Arial" w:hAnsi="Arial" w:cs="Arial"/>
                <w:sz w:val="18"/>
                <w:szCs w:val="18"/>
              </w:rPr>
            </w:pPr>
            <w:r>
              <w:rPr>
                <w:rFonts w:ascii="Arial" w:hAnsi="Arial" w:cs="Arial"/>
                <w:sz w:val="18"/>
                <w:szCs w:val="18"/>
              </w:rPr>
              <w:t>Größe in m²</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Personen-anzahl</w:t>
            </w:r>
          </w:p>
        </w:tc>
        <w:tc>
          <w:tcPr>
            <w:tcW w:w="741" w:type="pct"/>
            <w:vAlign w:val="center"/>
          </w:tcPr>
          <w:p>
            <w:pPr>
              <w:rPr>
                <w:rFonts w:ascii="Arial" w:hAnsi="Arial" w:cs="Arial"/>
                <w:sz w:val="18"/>
                <w:szCs w:val="18"/>
              </w:rPr>
            </w:pPr>
            <w:r>
              <w:rPr>
                <w:rFonts w:ascii="Arial" w:hAnsi="Arial" w:cs="Arial"/>
                <w:sz w:val="18"/>
                <w:szCs w:val="18"/>
              </w:rPr>
              <w:t>Netto-</w:t>
            </w:r>
            <w:proofErr w:type="spellStart"/>
            <w:r>
              <w:rPr>
                <w:rFonts w:ascii="Arial" w:hAnsi="Arial" w:cs="Arial"/>
                <w:sz w:val="18"/>
                <w:szCs w:val="18"/>
              </w:rPr>
              <w:t>kaltmiete</w:t>
            </w:r>
            <w:proofErr w:type="spellEnd"/>
            <w:r>
              <w:rPr>
                <w:rFonts w:ascii="Arial" w:hAnsi="Arial" w:cs="Arial"/>
                <w:sz w:val="18"/>
                <w:szCs w:val="18"/>
              </w:rPr>
              <w:br/>
              <w:t>in €/m²</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Netto-</w:t>
            </w:r>
            <w:proofErr w:type="spellStart"/>
            <w:r>
              <w:rPr>
                <w:rFonts w:ascii="Arial" w:hAnsi="Arial" w:cs="Arial"/>
                <w:b/>
                <w:sz w:val="18"/>
                <w:szCs w:val="18"/>
              </w:rPr>
              <w:t>kaltmiete</w:t>
            </w:r>
            <w:proofErr w:type="spellEnd"/>
            <w:r>
              <w:rPr>
                <w:rFonts w:ascii="Arial" w:hAnsi="Arial" w:cs="Arial"/>
                <w:b/>
                <w:sz w:val="18"/>
                <w:szCs w:val="18"/>
              </w:rPr>
              <w:br/>
              <w:t>in €</w:t>
            </w:r>
          </w:p>
        </w:tc>
        <w:tc>
          <w:tcPr>
            <w:tcW w:w="741" w:type="pct"/>
            <w:vAlign w:val="center"/>
          </w:tcPr>
          <w:p>
            <w:pPr>
              <w:rPr>
                <w:rFonts w:ascii="Arial" w:hAnsi="Arial" w:cs="Arial"/>
                <w:sz w:val="18"/>
                <w:szCs w:val="18"/>
              </w:rPr>
            </w:pPr>
            <w:r>
              <w:rPr>
                <w:rFonts w:ascii="Arial" w:hAnsi="Arial" w:cs="Arial"/>
                <w:sz w:val="18"/>
                <w:szCs w:val="18"/>
              </w:rPr>
              <w:t>Kalte Betriebs-kosten in €/m²</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Kalte Betriebs-kosten in €</w:t>
            </w:r>
          </w:p>
        </w:tc>
        <w:tc>
          <w:tcPr>
            <w:tcW w:w="736" w:type="pct"/>
            <w:vAlign w:val="center"/>
          </w:tcPr>
          <w:p>
            <w:pPr>
              <w:rPr>
                <w:rFonts w:ascii="Arial" w:hAnsi="Arial" w:cs="Arial"/>
                <w:sz w:val="18"/>
                <w:szCs w:val="18"/>
              </w:rPr>
            </w:pPr>
            <w:r>
              <w:rPr>
                <w:rFonts w:ascii="Arial" w:hAnsi="Arial" w:cs="Arial"/>
                <w:sz w:val="18"/>
                <w:szCs w:val="18"/>
              </w:rPr>
              <w:t>Brutto-</w:t>
            </w:r>
            <w:proofErr w:type="spellStart"/>
            <w:r>
              <w:rPr>
                <w:rFonts w:ascii="Arial" w:hAnsi="Arial" w:cs="Arial"/>
                <w:sz w:val="18"/>
                <w:szCs w:val="18"/>
              </w:rPr>
              <w:t>kaltmiete</w:t>
            </w:r>
            <w:proofErr w:type="spellEnd"/>
            <w:r>
              <w:rPr>
                <w:rFonts w:ascii="Arial" w:hAnsi="Arial" w:cs="Arial"/>
                <w:sz w:val="18"/>
                <w:szCs w:val="18"/>
              </w:rPr>
              <w:t xml:space="preserve"> </w:t>
            </w:r>
            <w:r>
              <w:rPr>
                <w:rFonts w:ascii="Arial" w:hAnsi="Arial" w:cs="Arial"/>
                <w:sz w:val="18"/>
                <w:szCs w:val="18"/>
              </w:rPr>
              <w:br/>
              <w:t>in €</w:t>
            </w:r>
          </w:p>
        </w:tc>
      </w:tr>
      <w:tr>
        <w:tc>
          <w:tcPr>
            <w:tcW w:w="559" w:type="pct"/>
          </w:tcPr>
          <w:p>
            <w:pPr>
              <w:spacing w:before="120" w:after="120"/>
              <w:jc w:val="both"/>
              <w:rPr>
                <w:rFonts w:ascii="Arial" w:hAnsi="Arial" w:cs="Arial"/>
                <w:sz w:val="18"/>
                <w:szCs w:val="18"/>
              </w:rPr>
            </w:pPr>
            <w:r>
              <w:rPr>
                <w:rFonts w:ascii="Arial" w:hAnsi="Arial" w:cs="Arial"/>
                <w:sz w:val="18"/>
                <w:szCs w:val="18"/>
              </w:rPr>
              <w:t>bis 49</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1</w:t>
            </w:r>
          </w:p>
        </w:tc>
        <w:tc>
          <w:tcPr>
            <w:tcW w:w="741" w:type="pct"/>
            <w:vAlign w:val="center"/>
          </w:tcPr>
          <w:p>
            <w:pPr>
              <w:spacing w:before="120" w:after="120"/>
              <w:rPr>
                <w:rFonts w:ascii="Arial" w:hAnsi="Arial" w:cs="Arial"/>
                <w:sz w:val="18"/>
                <w:szCs w:val="18"/>
              </w:rPr>
            </w:pPr>
            <w:r>
              <w:rPr>
                <w:rFonts w:ascii="Arial" w:hAnsi="Arial" w:cs="Arial"/>
                <w:sz w:val="18"/>
                <w:szCs w:val="18"/>
              </w:rPr>
              <w:t>4,47</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219,03</w:t>
            </w:r>
          </w:p>
        </w:tc>
        <w:tc>
          <w:tcPr>
            <w:tcW w:w="741" w:type="pct"/>
            <w:vAlign w:val="center"/>
          </w:tcPr>
          <w:p>
            <w:pPr>
              <w:spacing w:before="120" w:after="120"/>
              <w:rPr>
                <w:rFonts w:ascii="Arial" w:hAnsi="Arial" w:cs="Arial"/>
                <w:sz w:val="18"/>
                <w:szCs w:val="18"/>
              </w:rPr>
            </w:pPr>
            <w:r>
              <w:rPr>
                <w:rFonts w:ascii="Arial" w:hAnsi="Arial" w:cs="Arial"/>
                <w:sz w:val="18"/>
                <w:szCs w:val="18"/>
              </w:rPr>
              <w:t>0,97</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47,53</w:t>
            </w:r>
          </w:p>
        </w:tc>
        <w:tc>
          <w:tcPr>
            <w:tcW w:w="736" w:type="pct"/>
            <w:vAlign w:val="center"/>
          </w:tcPr>
          <w:p>
            <w:pPr>
              <w:spacing w:before="120" w:after="120"/>
              <w:rPr>
                <w:rFonts w:ascii="Arial" w:hAnsi="Arial" w:cs="Arial"/>
                <w:sz w:val="18"/>
                <w:szCs w:val="18"/>
              </w:rPr>
            </w:pPr>
            <w:r>
              <w:rPr>
                <w:rFonts w:ascii="Arial" w:hAnsi="Arial" w:cs="Arial"/>
                <w:sz w:val="18"/>
                <w:szCs w:val="18"/>
              </w:rPr>
              <w:t>266,56</w:t>
            </w:r>
          </w:p>
        </w:tc>
      </w:tr>
      <w:tr>
        <w:tc>
          <w:tcPr>
            <w:tcW w:w="559" w:type="pct"/>
          </w:tcPr>
          <w:p>
            <w:pPr>
              <w:jc w:val="both"/>
              <w:rPr>
                <w:rFonts w:ascii="Arial" w:hAnsi="Arial" w:cs="Arial"/>
                <w:sz w:val="18"/>
                <w:szCs w:val="18"/>
              </w:rPr>
            </w:pPr>
            <w:r>
              <w:rPr>
                <w:rFonts w:ascii="Arial" w:hAnsi="Arial" w:cs="Arial"/>
                <w:sz w:val="18"/>
                <w:szCs w:val="18"/>
              </w:rPr>
              <w:t>49 bis zu 60</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2</w:t>
            </w:r>
          </w:p>
        </w:tc>
        <w:tc>
          <w:tcPr>
            <w:tcW w:w="741" w:type="pct"/>
            <w:vAlign w:val="center"/>
          </w:tcPr>
          <w:p>
            <w:pPr>
              <w:rPr>
                <w:rFonts w:ascii="Arial" w:hAnsi="Arial" w:cs="Arial"/>
                <w:sz w:val="18"/>
                <w:szCs w:val="18"/>
              </w:rPr>
            </w:pPr>
            <w:r>
              <w:rPr>
                <w:rFonts w:ascii="Arial" w:hAnsi="Arial" w:cs="Arial"/>
                <w:sz w:val="18"/>
                <w:szCs w:val="18"/>
              </w:rPr>
              <w:t>4,51</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270,60</w:t>
            </w:r>
          </w:p>
        </w:tc>
        <w:tc>
          <w:tcPr>
            <w:tcW w:w="741" w:type="pct"/>
            <w:vAlign w:val="center"/>
          </w:tcPr>
          <w:p>
            <w:pPr>
              <w:rPr>
                <w:rFonts w:ascii="Arial" w:hAnsi="Arial" w:cs="Arial"/>
                <w:sz w:val="18"/>
                <w:szCs w:val="18"/>
              </w:rPr>
            </w:pPr>
            <w:r>
              <w:rPr>
                <w:rFonts w:ascii="Arial" w:hAnsi="Arial" w:cs="Arial"/>
                <w:sz w:val="18"/>
                <w:szCs w:val="18"/>
              </w:rPr>
              <w:t>1,03</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61,80</w:t>
            </w:r>
          </w:p>
        </w:tc>
        <w:tc>
          <w:tcPr>
            <w:tcW w:w="736" w:type="pct"/>
            <w:vAlign w:val="center"/>
          </w:tcPr>
          <w:p>
            <w:pPr>
              <w:rPr>
                <w:rFonts w:ascii="Arial" w:hAnsi="Arial" w:cs="Arial"/>
                <w:sz w:val="18"/>
                <w:szCs w:val="18"/>
              </w:rPr>
            </w:pPr>
            <w:r>
              <w:rPr>
                <w:rFonts w:ascii="Arial" w:hAnsi="Arial" w:cs="Arial"/>
                <w:sz w:val="18"/>
                <w:szCs w:val="18"/>
              </w:rPr>
              <w:t>332,40</w:t>
            </w:r>
          </w:p>
        </w:tc>
      </w:tr>
      <w:tr>
        <w:tc>
          <w:tcPr>
            <w:tcW w:w="559" w:type="pct"/>
          </w:tcPr>
          <w:p>
            <w:pPr>
              <w:jc w:val="both"/>
              <w:rPr>
                <w:rFonts w:ascii="Arial" w:hAnsi="Arial" w:cs="Arial"/>
                <w:sz w:val="18"/>
                <w:szCs w:val="18"/>
              </w:rPr>
            </w:pPr>
            <w:r>
              <w:rPr>
                <w:rFonts w:ascii="Arial" w:hAnsi="Arial" w:cs="Arial"/>
                <w:sz w:val="18"/>
                <w:szCs w:val="18"/>
              </w:rPr>
              <w:t>60 bis zu 75</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3</w:t>
            </w:r>
          </w:p>
        </w:tc>
        <w:tc>
          <w:tcPr>
            <w:tcW w:w="741" w:type="pct"/>
            <w:vAlign w:val="center"/>
          </w:tcPr>
          <w:p>
            <w:pPr>
              <w:rPr>
                <w:rFonts w:ascii="Arial" w:hAnsi="Arial" w:cs="Arial"/>
                <w:sz w:val="18"/>
                <w:szCs w:val="18"/>
              </w:rPr>
            </w:pPr>
            <w:r>
              <w:rPr>
                <w:rFonts w:ascii="Arial" w:hAnsi="Arial" w:cs="Arial"/>
                <w:sz w:val="18"/>
                <w:szCs w:val="18"/>
              </w:rPr>
              <w:t>4,57</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342,75</w:t>
            </w:r>
          </w:p>
        </w:tc>
        <w:tc>
          <w:tcPr>
            <w:tcW w:w="741" w:type="pct"/>
            <w:vAlign w:val="center"/>
          </w:tcPr>
          <w:p>
            <w:pPr>
              <w:rPr>
                <w:rFonts w:ascii="Arial" w:hAnsi="Arial" w:cs="Arial"/>
                <w:sz w:val="18"/>
                <w:szCs w:val="18"/>
              </w:rPr>
            </w:pPr>
            <w:r>
              <w:rPr>
                <w:rFonts w:ascii="Arial" w:hAnsi="Arial" w:cs="Arial"/>
                <w:sz w:val="18"/>
                <w:szCs w:val="18"/>
              </w:rPr>
              <w:t>1,05</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78,75</w:t>
            </w:r>
          </w:p>
        </w:tc>
        <w:tc>
          <w:tcPr>
            <w:tcW w:w="736" w:type="pct"/>
            <w:vAlign w:val="center"/>
          </w:tcPr>
          <w:p>
            <w:pPr>
              <w:rPr>
                <w:rFonts w:ascii="Arial" w:hAnsi="Arial" w:cs="Arial"/>
                <w:sz w:val="18"/>
                <w:szCs w:val="18"/>
              </w:rPr>
            </w:pPr>
            <w:r>
              <w:rPr>
                <w:rFonts w:ascii="Arial" w:hAnsi="Arial" w:cs="Arial"/>
                <w:sz w:val="18"/>
                <w:szCs w:val="18"/>
              </w:rPr>
              <w:t>421,50</w:t>
            </w:r>
          </w:p>
        </w:tc>
      </w:tr>
      <w:tr>
        <w:tc>
          <w:tcPr>
            <w:tcW w:w="559" w:type="pct"/>
          </w:tcPr>
          <w:p>
            <w:pPr>
              <w:jc w:val="both"/>
              <w:rPr>
                <w:rFonts w:ascii="Arial" w:hAnsi="Arial" w:cs="Arial"/>
                <w:sz w:val="18"/>
                <w:szCs w:val="18"/>
              </w:rPr>
            </w:pPr>
            <w:r>
              <w:rPr>
                <w:rFonts w:ascii="Arial" w:hAnsi="Arial" w:cs="Arial"/>
                <w:sz w:val="18"/>
                <w:szCs w:val="18"/>
              </w:rPr>
              <w:t>75 bis zu 90</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4</w:t>
            </w:r>
          </w:p>
        </w:tc>
        <w:tc>
          <w:tcPr>
            <w:tcW w:w="741" w:type="pct"/>
            <w:vAlign w:val="center"/>
          </w:tcPr>
          <w:p>
            <w:pPr>
              <w:rPr>
                <w:rFonts w:ascii="Arial" w:hAnsi="Arial" w:cs="Arial"/>
                <w:sz w:val="18"/>
                <w:szCs w:val="18"/>
              </w:rPr>
            </w:pPr>
            <w:r>
              <w:rPr>
                <w:rFonts w:ascii="Arial" w:hAnsi="Arial" w:cs="Arial"/>
                <w:sz w:val="18"/>
                <w:szCs w:val="18"/>
              </w:rPr>
              <w:t>4,58</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412,20</w:t>
            </w:r>
          </w:p>
        </w:tc>
        <w:tc>
          <w:tcPr>
            <w:tcW w:w="741" w:type="pct"/>
            <w:vAlign w:val="center"/>
          </w:tcPr>
          <w:p>
            <w:pPr>
              <w:rPr>
                <w:rFonts w:ascii="Arial" w:hAnsi="Arial" w:cs="Arial"/>
                <w:sz w:val="18"/>
                <w:szCs w:val="18"/>
              </w:rPr>
            </w:pPr>
            <w:r>
              <w:rPr>
                <w:rFonts w:ascii="Arial" w:hAnsi="Arial" w:cs="Arial"/>
                <w:sz w:val="18"/>
                <w:szCs w:val="18"/>
              </w:rPr>
              <w:t>1,12</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100,80</w:t>
            </w:r>
          </w:p>
        </w:tc>
        <w:tc>
          <w:tcPr>
            <w:tcW w:w="736" w:type="pct"/>
            <w:vAlign w:val="center"/>
          </w:tcPr>
          <w:p>
            <w:pPr>
              <w:rPr>
                <w:rFonts w:ascii="Arial" w:hAnsi="Arial" w:cs="Arial"/>
                <w:sz w:val="18"/>
                <w:szCs w:val="18"/>
              </w:rPr>
            </w:pPr>
            <w:r>
              <w:rPr>
                <w:rFonts w:ascii="Arial" w:hAnsi="Arial" w:cs="Arial"/>
                <w:sz w:val="18"/>
                <w:szCs w:val="18"/>
              </w:rPr>
              <w:t>513,00</w:t>
            </w:r>
          </w:p>
        </w:tc>
      </w:tr>
      <w:tr>
        <w:tc>
          <w:tcPr>
            <w:tcW w:w="559" w:type="pct"/>
          </w:tcPr>
          <w:p>
            <w:pPr>
              <w:jc w:val="both"/>
              <w:rPr>
                <w:rFonts w:ascii="Arial" w:hAnsi="Arial" w:cs="Arial"/>
                <w:sz w:val="18"/>
                <w:szCs w:val="18"/>
              </w:rPr>
            </w:pPr>
            <w:r>
              <w:rPr>
                <w:rFonts w:ascii="Arial" w:hAnsi="Arial" w:cs="Arial"/>
                <w:sz w:val="18"/>
                <w:szCs w:val="18"/>
              </w:rPr>
              <w:t>90 bis zu 105</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5</w:t>
            </w:r>
          </w:p>
        </w:tc>
        <w:tc>
          <w:tcPr>
            <w:tcW w:w="741" w:type="pct"/>
            <w:vAlign w:val="center"/>
          </w:tcPr>
          <w:p>
            <w:pPr>
              <w:rPr>
                <w:rFonts w:ascii="Arial" w:hAnsi="Arial" w:cs="Arial"/>
                <w:sz w:val="18"/>
                <w:szCs w:val="18"/>
              </w:rPr>
            </w:pPr>
            <w:r>
              <w:rPr>
                <w:rFonts w:ascii="Arial" w:hAnsi="Arial" w:cs="Arial"/>
                <w:sz w:val="18"/>
                <w:szCs w:val="18"/>
              </w:rPr>
              <w:t>3,78</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396,90</w:t>
            </w:r>
          </w:p>
        </w:tc>
        <w:tc>
          <w:tcPr>
            <w:tcW w:w="741" w:type="pct"/>
            <w:vAlign w:val="center"/>
          </w:tcPr>
          <w:p>
            <w:pPr>
              <w:rPr>
                <w:rFonts w:ascii="Arial" w:hAnsi="Arial" w:cs="Arial"/>
                <w:sz w:val="18"/>
                <w:szCs w:val="18"/>
              </w:rPr>
            </w:pPr>
            <w:r>
              <w:rPr>
                <w:rFonts w:ascii="Arial" w:hAnsi="Arial" w:cs="Arial"/>
                <w:sz w:val="18"/>
                <w:szCs w:val="18"/>
              </w:rPr>
              <w:t>1,04</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109,20</w:t>
            </w:r>
          </w:p>
        </w:tc>
        <w:tc>
          <w:tcPr>
            <w:tcW w:w="736" w:type="pct"/>
            <w:vAlign w:val="center"/>
          </w:tcPr>
          <w:p>
            <w:pPr>
              <w:rPr>
                <w:rFonts w:ascii="Arial" w:hAnsi="Arial" w:cs="Arial"/>
                <w:sz w:val="18"/>
                <w:szCs w:val="18"/>
              </w:rPr>
            </w:pPr>
            <w:r>
              <w:rPr>
                <w:rFonts w:ascii="Arial" w:hAnsi="Arial" w:cs="Arial"/>
                <w:sz w:val="18"/>
                <w:szCs w:val="18"/>
              </w:rPr>
              <w:t>513,00*</w:t>
            </w:r>
          </w:p>
        </w:tc>
      </w:tr>
      <w:tr>
        <w:tc>
          <w:tcPr>
            <w:tcW w:w="559" w:type="pct"/>
            <w:vAlign w:val="center"/>
          </w:tcPr>
          <w:p>
            <w:pPr>
              <w:spacing w:before="120" w:after="120"/>
              <w:rPr>
                <w:rFonts w:ascii="Arial" w:hAnsi="Arial" w:cs="Arial"/>
                <w:sz w:val="18"/>
                <w:szCs w:val="18"/>
              </w:rPr>
            </w:pPr>
            <w:r>
              <w:rPr>
                <w:rFonts w:ascii="Arial" w:hAnsi="Arial" w:cs="Arial"/>
                <w:sz w:val="18"/>
                <w:szCs w:val="18"/>
              </w:rPr>
              <w:t>+ 15</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Jede weitere</w:t>
            </w:r>
          </w:p>
        </w:tc>
        <w:tc>
          <w:tcPr>
            <w:tcW w:w="741" w:type="pct"/>
            <w:vAlign w:val="center"/>
          </w:tcPr>
          <w:p>
            <w:pPr>
              <w:spacing w:before="120" w:after="120"/>
              <w:rPr>
                <w:rFonts w:ascii="Arial" w:hAnsi="Arial" w:cs="Arial"/>
                <w:sz w:val="18"/>
                <w:szCs w:val="18"/>
              </w:rPr>
            </w:pPr>
            <w:r>
              <w:rPr>
                <w:rFonts w:ascii="Arial" w:hAnsi="Arial" w:cs="Arial"/>
                <w:sz w:val="18"/>
                <w:szCs w:val="18"/>
              </w:rPr>
              <w:t>3,78</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+ 56,70</w:t>
            </w:r>
          </w:p>
        </w:tc>
        <w:tc>
          <w:tcPr>
            <w:tcW w:w="741" w:type="pct"/>
            <w:vAlign w:val="center"/>
          </w:tcPr>
          <w:p>
            <w:pPr>
              <w:spacing w:before="120" w:after="120"/>
              <w:rPr>
                <w:rFonts w:ascii="Arial" w:hAnsi="Arial" w:cs="Arial"/>
                <w:sz w:val="18"/>
                <w:szCs w:val="18"/>
              </w:rPr>
            </w:pPr>
            <w:r>
              <w:rPr>
                <w:rFonts w:ascii="Arial" w:hAnsi="Arial" w:cs="Arial"/>
                <w:sz w:val="18"/>
                <w:szCs w:val="18"/>
              </w:rPr>
              <w:t>1,04</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+ 15,60</w:t>
            </w:r>
          </w:p>
        </w:tc>
        <w:tc>
          <w:tcPr>
            <w:tcW w:w="736" w:type="pct"/>
            <w:vAlign w:val="center"/>
          </w:tcPr>
          <w:p>
            <w:pPr>
              <w:spacing w:before="120" w:after="120"/>
              <w:rPr>
                <w:rFonts w:ascii="Arial" w:hAnsi="Arial" w:cs="Arial"/>
                <w:sz w:val="18"/>
                <w:szCs w:val="18"/>
              </w:rPr>
            </w:pPr>
            <w:r>
              <w:rPr>
                <w:rFonts w:ascii="Arial" w:hAnsi="Arial" w:cs="Arial"/>
                <w:sz w:val="18"/>
                <w:szCs w:val="18"/>
              </w:rPr>
              <w:t>+ 73,29*</w:t>
            </w:r>
          </w:p>
        </w:tc>
      </w:tr>
    </w:tbl>
    <w:p>
      <w:pPr>
        <w:jc w:val="both"/>
        <w:rPr>
          <w:rFonts w:ascii="Arial" w:hAnsi="Arial" w:cs="Arial"/>
          <w:sz w:val="18"/>
          <w:szCs w:val="18"/>
        </w:rPr>
      </w:pPr>
    </w:p>
    <w:p>
      <w:pPr>
        <w:jc w:val="both"/>
        <w:rPr>
          <w:rFonts w:ascii="Arial" w:hAnsi="Arial" w:cs="Arial"/>
          <w:sz w:val="18"/>
          <w:szCs w:val="18"/>
        </w:rPr>
      </w:pPr>
      <w:r>
        <w:rPr>
          <w:rFonts w:ascii="Arial" w:hAnsi="Arial" w:cs="Arial"/>
          <w:sz w:val="18"/>
          <w:szCs w:val="18"/>
        </w:rPr>
        <w:t>*  Übernahme des Wertes für 4-PHH</w:t>
      </w:r>
    </w:p>
    <w:tbl>
      <w:tblPr>
        <w:tblStyle w:val="Tabellenraster"/>
        <w:tblW w:w="5000" w:type="pct"/>
        <w:tblLayout w:type="fixed"/>
        <w:tblLook w:val="04A0" w:firstRow="1" w:lastRow="0" w:firstColumn="1" w:lastColumn="0" w:noHBand="0" w:noVBand="1"/>
      </w:tblPr>
      <w:tblGrid>
        <w:gridCol w:w="1039"/>
        <w:gridCol w:w="1377"/>
        <w:gridCol w:w="1377"/>
        <w:gridCol w:w="1376"/>
        <w:gridCol w:w="1376"/>
        <w:gridCol w:w="1376"/>
        <w:gridCol w:w="1367"/>
      </w:tblGrid>
      <w:tr>
        <w:tc>
          <w:tcPr>
            <w:tcW w:w="5000" w:type="pct"/>
            <w:gridSpan w:val="7"/>
          </w:tcPr>
          <w:p>
            <w:pPr>
              <w:spacing w:before="60" w:after="60"/>
              <w:jc w:val="both"/>
              <w:rPr>
                <w:rFonts w:ascii="Arial" w:hAnsi="Arial" w:cs="Arial"/>
                <w:sz w:val="18"/>
                <w:szCs w:val="18"/>
              </w:rPr>
            </w:pPr>
            <w:r>
              <w:rPr>
                <w:rFonts w:ascii="Arial" w:hAnsi="Arial" w:cs="Arial"/>
                <w:sz w:val="18"/>
                <w:szCs w:val="18"/>
              </w:rPr>
              <w:t>2015: Wohnungsmarkttyp III (Heilbad Heiligenstadt, Leinefelde-Worbis und Ortsteile der Städte)</w:t>
            </w:r>
          </w:p>
        </w:tc>
      </w:tr>
      <w:tr>
        <w:tc>
          <w:tcPr>
            <w:tcW w:w="559" w:type="pct"/>
            <w:vAlign w:val="center"/>
          </w:tcPr>
          <w:p>
            <w:pPr>
              <w:rPr>
                <w:rFonts w:ascii="Arial" w:hAnsi="Arial" w:cs="Arial"/>
                <w:sz w:val="18"/>
                <w:szCs w:val="18"/>
              </w:rPr>
            </w:pPr>
            <w:r>
              <w:rPr>
                <w:rFonts w:ascii="Arial" w:hAnsi="Arial" w:cs="Arial"/>
                <w:sz w:val="18"/>
                <w:szCs w:val="18"/>
              </w:rPr>
              <w:t>Größe in m²</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Personen-anzahl</w:t>
            </w:r>
          </w:p>
        </w:tc>
        <w:tc>
          <w:tcPr>
            <w:tcW w:w="741" w:type="pct"/>
            <w:vAlign w:val="center"/>
          </w:tcPr>
          <w:p>
            <w:pPr>
              <w:rPr>
                <w:rFonts w:ascii="Arial" w:hAnsi="Arial" w:cs="Arial"/>
                <w:sz w:val="18"/>
                <w:szCs w:val="18"/>
              </w:rPr>
            </w:pPr>
            <w:r>
              <w:rPr>
                <w:rFonts w:ascii="Arial" w:hAnsi="Arial" w:cs="Arial"/>
                <w:sz w:val="18"/>
                <w:szCs w:val="18"/>
              </w:rPr>
              <w:t>Netto-</w:t>
            </w:r>
            <w:proofErr w:type="spellStart"/>
            <w:r>
              <w:rPr>
                <w:rFonts w:ascii="Arial" w:hAnsi="Arial" w:cs="Arial"/>
                <w:sz w:val="18"/>
                <w:szCs w:val="18"/>
              </w:rPr>
              <w:t>kaltmiete</w:t>
            </w:r>
            <w:proofErr w:type="spellEnd"/>
            <w:r>
              <w:rPr>
                <w:rFonts w:ascii="Arial" w:hAnsi="Arial" w:cs="Arial"/>
                <w:sz w:val="18"/>
                <w:szCs w:val="18"/>
              </w:rPr>
              <w:br/>
              <w:t>in €/m²</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Netto-</w:t>
            </w:r>
            <w:proofErr w:type="spellStart"/>
            <w:r>
              <w:rPr>
                <w:rFonts w:ascii="Arial" w:hAnsi="Arial" w:cs="Arial"/>
                <w:b/>
                <w:sz w:val="18"/>
                <w:szCs w:val="18"/>
              </w:rPr>
              <w:t>kaltmiete</w:t>
            </w:r>
            <w:proofErr w:type="spellEnd"/>
            <w:r>
              <w:rPr>
                <w:rFonts w:ascii="Arial" w:hAnsi="Arial" w:cs="Arial"/>
                <w:b/>
                <w:sz w:val="18"/>
                <w:szCs w:val="18"/>
              </w:rPr>
              <w:br/>
              <w:t>in €</w:t>
            </w:r>
          </w:p>
        </w:tc>
        <w:tc>
          <w:tcPr>
            <w:tcW w:w="741" w:type="pct"/>
            <w:vAlign w:val="center"/>
          </w:tcPr>
          <w:p>
            <w:pPr>
              <w:rPr>
                <w:rFonts w:ascii="Arial" w:hAnsi="Arial" w:cs="Arial"/>
                <w:sz w:val="18"/>
                <w:szCs w:val="18"/>
              </w:rPr>
            </w:pPr>
            <w:r>
              <w:rPr>
                <w:rFonts w:ascii="Arial" w:hAnsi="Arial" w:cs="Arial"/>
                <w:sz w:val="18"/>
                <w:szCs w:val="18"/>
              </w:rPr>
              <w:t>Kalte Betriebs-kosten in €/m²</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Kalte Betriebs-kosten in €</w:t>
            </w:r>
          </w:p>
        </w:tc>
        <w:tc>
          <w:tcPr>
            <w:tcW w:w="736" w:type="pct"/>
            <w:vAlign w:val="center"/>
          </w:tcPr>
          <w:p>
            <w:pPr>
              <w:rPr>
                <w:rFonts w:ascii="Arial" w:hAnsi="Arial" w:cs="Arial"/>
                <w:sz w:val="18"/>
                <w:szCs w:val="18"/>
              </w:rPr>
            </w:pPr>
            <w:r>
              <w:rPr>
                <w:rFonts w:ascii="Arial" w:hAnsi="Arial" w:cs="Arial"/>
                <w:sz w:val="18"/>
                <w:szCs w:val="18"/>
              </w:rPr>
              <w:t>Brutto-</w:t>
            </w:r>
            <w:proofErr w:type="spellStart"/>
            <w:r>
              <w:rPr>
                <w:rFonts w:ascii="Arial" w:hAnsi="Arial" w:cs="Arial"/>
                <w:sz w:val="18"/>
                <w:szCs w:val="18"/>
              </w:rPr>
              <w:t>kaltmiete</w:t>
            </w:r>
            <w:proofErr w:type="spellEnd"/>
            <w:r>
              <w:rPr>
                <w:rFonts w:ascii="Arial" w:hAnsi="Arial" w:cs="Arial"/>
                <w:sz w:val="18"/>
                <w:szCs w:val="18"/>
              </w:rPr>
              <w:t xml:space="preserve"> </w:t>
            </w:r>
            <w:r>
              <w:rPr>
                <w:rFonts w:ascii="Arial" w:hAnsi="Arial" w:cs="Arial"/>
                <w:sz w:val="18"/>
                <w:szCs w:val="18"/>
              </w:rPr>
              <w:br/>
              <w:t>in €</w:t>
            </w:r>
          </w:p>
        </w:tc>
      </w:tr>
      <w:tr>
        <w:tc>
          <w:tcPr>
            <w:tcW w:w="559" w:type="pct"/>
          </w:tcPr>
          <w:p>
            <w:pPr>
              <w:spacing w:before="120" w:after="120"/>
              <w:jc w:val="both"/>
              <w:rPr>
                <w:rFonts w:ascii="Arial" w:hAnsi="Arial" w:cs="Arial"/>
                <w:sz w:val="18"/>
                <w:szCs w:val="18"/>
              </w:rPr>
            </w:pPr>
            <w:r>
              <w:rPr>
                <w:rFonts w:ascii="Arial" w:hAnsi="Arial" w:cs="Arial"/>
                <w:sz w:val="18"/>
                <w:szCs w:val="18"/>
              </w:rPr>
              <w:t>bis 49</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1</w:t>
            </w:r>
          </w:p>
        </w:tc>
        <w:tc>
          <w:tcPr>
            <w:tcW w:w="741" w:type="pct"/>
            <w:vAlign w:val="center"/>
          </w:tcPr>
          <w:p>
            <w:pPr>
              <w:rPr>
                <w:rFonts w:ascii="Arial" w:hAnsi="Arial" w:cs="Arial"/>
                <w:sz w:val="18"/>
                <w:szCs w:val="18"/>
              </w:rPr>
            </w:pPr>
            <w:r>
              <w:rPr>
                <w:rFonts w:ascii="Arial" w:hAnsi="Arial" w:cs="Arial"/>
                <w:sz w:val="18"/>
                <w:szCs w:val="18"/>
              </w:rPr>
              <w:t>4,70</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230,30</w:t>
            </w:r>
          </w:p>
        </w:tc>
        <w:tc>
          <w:tcPr>
            <w:tcW w:w="741" w:type="pct"/>
            <w:vAlign w:val="center"/>
          </w:tcPr>
          <w:p>
            <w:pPr>
              <w:spacing w:before="120" w:after="120"/>
              <w:rPr>
                <w:rFonts w:ascii="Arial" w:hAnsi="Arial" w:cs="Arial"/>
                <w:sz w:val="18"/>
                <w:szCs w:val="18"/>
              </w:rPr>
            </w:pPr>
            <w:r>
              <w:rPr>
                <w:rFonts w:ascii="Arial" w:hAnsi="Arial" w:cs="Arial"/>
                <w:sz w:val="18"/>
                <w:szCs w:val="18"/>
              </w:rPr>
              <w:t>0,97</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47,53</w:t>
            </w:r>
          </w:p>
        </w:tc>
        <w:tc>
          <w:tcPr>
            <w:tcW w:w="736" w:type="pct"/>
            <w:vAlign w:val="center"/>
          </w:tcPr>
          <w:p>
            <w:pPr>
              <w:spacing w:before="120" w:after="120"/>
              <w:rPr>
                <w:rFonts w:ascii="Arial" w:hAnsi="Arial" w:cs="Arial"/>
                <w:bCs/>
                <w:color w:val="000000"/>
                <w:sz w:val="18"/>
                <w:szCs w:val="18"/>
              </w:rPr>
            </w:pPr>
            <w:r>
              <w:rPr>
                <w:rFonts w:ascii="Arial" w:hAnsi="Arial" w:cs="Arial"/>
                <w:bCs/>
                <w:color w:val="000000"/>
                <w:sz w:val="18"/>
                <w:szCs w:val="18"/>
              </w:rPr>
              <w:t>277,83</w:t>
            </w:r>
          </w:p>
        </w:tc>
      </w:tr>
      <w:tr>
        <w:tc>
          <w:tcPr>
            <w:tcW w:w="559" w:type="pct"/>
          </w:tcPr>
          <w:p>
            <w:pPr>
              <w:jc w:val="both"/>
              <w:rPr>
                <w:rFonts w:ascii="Arial" w:hAnsi="Arial" w:cs="Arial"/>
                <w:sz w:val="18"/>
                <w:szCs w:val="18"/>
              </w:rPr>
            </w:pPr>
            <w:r>
              <w:rPr>
                <w:rFonts w:ascii="Arial" w:hAnsi="Arial" w:cs="Arial"/>
                <w:sz w:val="18"/>
                <w:szCs w:val="18"/>
              </w:rPr>
              <w:t>49 bis zu 60</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2</w:t>
            </w:r>
          </w:p>
        </w:tc>
        <w:tc>
          <w:tcPr>
            <w:tcW w:w="741" w:type="pct"/>
            <w:vAlign w:val="center"/>
          </w:tcPr>
          <w:p>
            <w:pPr>
              <w:rPr>
                <w:rFonts w:ascii="Arial" w:hAnsi="Arial" w:cs="Arial"/>
                <w:sz w:val="18"/>
                <w:szCs w:val="18"/>
              </w:rPr>
            </w:pPr>
            <w:r>
              <w:rPr>
                <w:rFonts w:ascii="Arial" w:hAnsi="Arial" w:cs="Arial"/>
                <w:sz w:val="18"/>
                <w:szCs w:val="18"/>
              </w:rPr>
              <w:t>4,70</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282,00</w:t>
            </w:r>
          </w:p>
        </w:tc>
        <w:tc>
          <w:tcPr>
            <w:tcW w:w="741" w:type="pct"/>
            <w:vAlign w:val="center"/>
          </w:tcPr>
          <w:p>
            <w:pPr>
              <w:rPr>
                <w:rFonts w:ascii="Arial" w:hAnsi="Arial" w:cs="Arial"/>
                <w:sz w:val="18"/>
                <w:szCs w:val="18"/>
              </w:rPr>
            </w:pPr>
            <w:r>
              <w:rPr>
                <w:rFonts w:ascii="Arial" w:hAnsi="Arial" w:cs="Arial"/>
                <w:sz w:val="18"/>
                <w:szCs w:val="18"/>
              </w:rPr>
              <w:t>1,03</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61,80</w:t>
            </w:r>
          </w:p>
        </w:tc>
        <w:tc>
          <w:tcPr>
            <w:tcW w:w="736" w:type="pct"/>
            <w:vAlign w:val="center"/>
          </w:tcPr>
          <w:p>
            <w:pPr>
              <w:rPr>
                <w:rFonts w:ascii="Arial" w:hAnsi="Arial" w:cs="Arial"/>
                <w:bCs/>
                <w:color w:val="000000"/>
                <w:sz w:val="18"/>
                <w:szCs w:val="18"/>
              </w:rPr>
            </w:pPr>
            <w:r>
              <w:rPr>
                <w:rFonts w:ascii="Arial" w:hAnsi="Arial" w:cs="Arial"/>
                <w:bCs/>
                <w:color w:val="000000"/>
                <w:sz w:val="18"/>
                <w:szCs w:val="18"/>
              </w:rPr>
              <w:t>343,80</w:t>
            </w:r>
          </w:p>
        </w:tc>
      </w:tr>
      <w:tr>
        <w:tc>
          <w:tcPr>
            <w:tcW w:w="559" w:type="pct"/>
          </w:tcPr>
          <w:p>
            <w:pPr>
              <w:jc w:val="both"/>
              <w:rPr>
                <w:rFonts w:ascii="Arial" w:hAnsi="Arial" w:cs="Arial"/>
                <w:sz w:val="18"/>
                <w:szCs w:val="18"/>
              </w:rPr>
            </w:pPr>
            <w:r>
              <w:rPr>
                <w:rFonts w:ascii="Arial" w:hAnsi="Arial" w:cs="Arial"/>
                <w:sz w:val="18"/>
                <w:szCs w:val="18"/>
              </w:rPr>
              <w:t>60 bis zu 75</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3</w:t>
            </w:r>
          </w:p>
        </w:tc>
        <w:tc>
          <w:tcPr>
            <w:tcW w:w="741" w:type="pct"/>
            <w:vAlign w:val="center"/>
          </w:tcPr>
          <w:p>
            <w:pPr>
              <w:rPr>
                <w:rFonts w:ascii="Arial" w:hAnsi="Arial" w:cs="Arial"/>
                <w:sz w:val="18"/>
                <w:szCs w:val="18"/>
              </w:rPr>
            </w:pPr>
            <w:r>
              <w:rPr>
                <w:rFonts w:ascii="Arial" w:hAnsi="Arial" w:cs="Arial"/>
                <w:sz w:val="18"/>
                <w:szCs w:val="18"/>
              </w:rPr>
              <w:t>4,60</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345,00</w:t>
            </w:r>
          </w:p>
        </w:tc>
        <w:tc>
          <w:tcPr>
            <w:tcW w:w="741" w:type="pct"/>
            <w:vAlign w:val="center"/>
          </w:tcPr>
          <w:p>
            <w:pPr>
              <w:rPr>
                <w:rFonts w:ascii="Arial" w:hAnsi="Arial" w:cs="Arial"/>
                <w:sz w:val="18"/>
                <w:szCs w:val="18"/>
              </w:rPr>
            </w:pPr>
            <w:r>
              <w:rPr>
                <w:rFonts w:ascii="Arial" w:hAnsi="Arial" w:cs="Arial"/>
                <w:sz w:val="18"/>
                <w:szCs w:val="18"/>
              </w:rPr>
              <w:t>1,05</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78,75</w:t>
            </w:r>
          </w:p>
        </w:tc>
        <w:tc>
          <w:tcPr>
            <w:tcW w:w="736" w:type="pct"/>
            <w:vAlign w:val="center"/>
          </w:tcPr>
          <w:p>
            <w:pPr>
              <w:rPr>
                <w:rFonts w:ascii="Arial" w:hAnsi="Arial" w:cs="Arial"/>
                <w:bCs/>
                <w:color w:val="000000"/>
                <w:sz w:val="18"/>
                <w:szCs w:val="18"/>
              </w:rPr>
            </w:pPr>
            <w:r>
              <w:rPr>
                <w:rFonts w:ascii="Arial" w:hAnsi="Arial" w:cs="Arial"/>
                <w:bCs/>
                <w:color w:val="000000"/>
                <w:sz w:val="18"/>
                <w:szCs w:val="18"/>
              </w:rPr>
              <w:t>423,75</w:t>
            </w:r>
          </w:p>
        </w:tc>
      </w:tr>
      <w:tr>
        <w:tc>
          <w:tcPr>
            <w:tcW w:w="559" w:type="pct"/>
          </w:tcPr>
          <w:p>
            <w:pPr>
              <w:jc w:val="both"/>
              <w:rPr>
                <w:rFonts w:ascii="Arial" w:hAnsi="Arial" w:cs="Arial"/>
                <w:sz w:val="18"/>
                <w:szCs w:val="18"/>
              </w:rPr>
            </w:pPr>
            <w:r>
              <w:rPr>
                <w:rFonts w:ascii="Arial" w:hAnsi="Arial" w:cs="Arial"/>
                <w:sz w:val="18"/>
                <w:szCs w:val="18"/>
              </w:rPr>
              <w:t>75 bis zu 90</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4</w:t>
            </w:r>
          </w:p>
        </w:tc>
        <w:tc>
          <w:tcPr>
            <w:tcW w:w="741" w:type="pct"/>
            <w:vAlign w:val="center"/>
          </w:tcPr>
          <w:p>
            <w:pPr>
              <w:rPr>
                <w:rFonts w:ascii="Arial" w:hAnsi="Arial" w:cs="Arial"/>
                <w:sz w:val="18"/>
                <w:szCs w:val="18"/>
              </w:rPr>
            </w:pPr>
            <w:r>
              <w:rPr>
                <w:rFonts w:ascii="Arial" w:hAnsi="Arial" w:cs="Arial"/>
                <w:sz w:val="18"/>
                <w:szCs w:val="18"/>
              </w:rPr>
              <w:t>4,75</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427,50</w:t>
            </w:r>
          </w:p>
        </w:tc>
        <w:tc>
          <w:tcPr>
            <w:tcW w:w="741" w:type="pct"/>
            <w:vAlign w:val="center"/>
          </w:tcPr>
          <w:p>
            <w:pPr>
              <w:rPr>
                <w:rFonts w:ascii="Arial" w:hAnsi="Arial" w:cs="Arial"/>
                <w:sz w:val="18"/>
                <w:szCs w:val="18"/>
              </w:rPr>
            </w:pPr>
            <w:r>
              <w:rPr>
                <w:rFonts w:ascii="Arial" w:hAnsi="Arial" w:cs="Arial"/>
                <w:sz w:val="18"/>
                <w:szCs w:val="18"/>
              </w:rPr>
              <w:t>1,12</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100,80</w:t>
            </w:r>
          </w:p>
        </w:tc>
        <w:tc>
          <w:tcPr>
            <w:tcW w:w="736" w:type="pct"/>
            <w:vAlign w:val="center"/>
          </w:tcPr>
          <w:p>
            <w:pPr>
              <w:rPr>
                <w:rFonts w:ascii="Arial" w:hAnsi="Arial" w:cs="Arial"/>
                <w:bCs/>
                <w:color w:val="000000"/>
                <w:sz w:val="18"/>
                <w:szCs w:val="18"/>
              </w:rPr>
            </w:pPr>
            <w:r>
              <w:rPr>
                <w:rFonts w:ascii="Arial" w:hAnsi="Arial" w:cs="Arial"/>
                <w:bCs/>
                <w:color w:val="000000"/>
                <w:sz w:val="18"/>
                <w:szCs w:val="18"/>
              </w:rPr>
              <w:t>528,30</w:t>
            </w:r>
          </w:p>
        </w:tc>
      </w:tr>
      <w:tr>
        <w:tc>
          <w:tcPr>
            <w:tcW w:w="559" w:type="pct"/>
          </w:tcPr>
          <w:p>
            <w:pPr>
              <w:jc w:val="both"/>
              <w:rPr>
                <w:rFonts w:ascii="Arial" w:hAnsi="Arial" w:cs="Arial"/>
                <w:sz w:val="18"/>
                <w:szCs w:val="18"/>
              </w:rPr>
            </w:pPr>
            <w:r>
              <w:rPr>
                <w:rFonts w:ascii="Arial" w:hAnsi="Arial" w:cs="Arial"/>
                <w:sz w:val="18"/>
                <w:szCs w:val="18"/>
              </w:rPr>
              <w:t>90 bis zu 105</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5</w:t>
            </w:r>
          </w:p>
        </w:tc>
        <w:tc>
          <w:tcPr>
            <w:tcW w:w="741" w:type="pct"/>
            <w:vAlign w:val="center"/>
          </w:tcPr>
          <w:p>
            <w:pPr>
              <w:rPr>
                <w:rFonts w:ascii="Arial" w:hAnsi="Arial" w:cs="Arial"/>
                <w:sz w:val="18"/>
                <w:szCs w:val="18"/>
              </w:rPr>
            </w:pPr>
            <w:r>
              <w:rPr>
                <w:rFonts w:ascii="Arial" w:hAnsi="Arial" w:cs="Arial"/>
                <w:sz w:val="18"/>
                <w:szCs w:val="18"/>
              </w:rPr>
              <w:t>4,75</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498,75</w:t>
            </w:r>
          </w:p>
        </w:tc>
        <w:tc>
          <w:tcPr>
            <w:tcW w:w="741" w:type="pct"/>
            <w:vAlign w:val="center"/>
          </w:tcPr>
          <w:p>
            <w:pPr>
              <w:rPr>
                <w:rFonts w:ascii="Arial" w:hAnsi="Arial" w:cs="Arial"/>
                <w:sz w:val="18"/>
                <w:szCs w:val="18"/>
              </w:rPr>
            </w:pPr>
            <w:r>
              <w:rPr>
                <w:rFonts w:ascii="Arial" w:hAnsi="Arial" w:cs="Arial"/>
                <w:sz w:val="18"/>
                <w:szCs w:val="18"/>
              </w:rPr>
              <w:t>1,04</w:t>
            </w:r>
          </w:p>
        </w:tc>
        <w:tc>
          <w:tcPr>
            <w:tcW w:w="741" w:type="pct"/>
            <w:shd w:val="clear" w:color="auto" w:fill="EAF1DD" w:themeFill="accent3" w:themeFillTint="33"/>
            <w:vAlign w:val="center"/>
          </w:tcPr>
          <w:p>
            <w:pPr>
              <w:rPr>
                <w:rFonts w:ascii="Arial" w:hAnsi="Arial" w:cs="Arial"/>
                <w:b/>
                <w:sz w:val="18"/>
                <w:szCs w:val="18"/>
              </w:rPr>
            </w:pPr>
            <w:r>
              <w:rPr>
                <w:rFonts w:ascii="Arial" w:hAnsi="Arial" w:cs="Arial"/>
                <w:b/>
                <w:sz w:val="18"/>
                <w:szCs w:val="18"/>
              </w:rPr>
              <w:t>109,20</w:t>
            </w:r>
          </w:p>
        </w:tc>
        <w:tc>
          <w:tcPr>
            <w:tcW w:w="736" w:type="pct"/>
            <w:vAlign w:val="center"/>
          </w:tcPr>
          <w:p>
            <w:pPr>
              <w:rPr>
                <w:rFonts w:ascii="Arial" w:hAnsi="Arial" w:cs="Arial"/>
                <w:bCs/>
                <w:color w:val="000000"/>
                <w:sz w:val="18"/>
                <w:szCs w:val="18"/>
              </w:rPr>
            </w:pPr>
            <w:r>
              <w:rPr>
                <w:rFonts w:ascii="Arial" w:hAnsi="Arial" w:cs="Arial"/>
                <w:bCs/>
                <w:color w:val="000000"/>
                <w:sz w:val="18"/>
                <w:szCs w:val="18"/>
              </w:rPr>
              <w:t>607,95</w:t>
            </w:r>
          </w:p>
        </w:tc>
      </w:tr>
      <w:tr>
        <w:tc>
          <w:tcPr>
            <w:tcW w:w="559" w:type="pct"/>
          </w:tcPr>
          <w:p>
            <w:pPr>
              <w:spacing w:before="120" w:after="120"/>
              <w:jc w:val="both"/>
              <w:rPr>
                <w:rFonts w:ascii="Arial" w:hAnsi="Arial" w:cs="Arial"/>
                <w:sz w:val="18"/>
                <w:szCs w:val="18"/>
              </w:rPr>
            </w:pPr>
            <w:r>
              <w:rPr>
                <w:rFonts w:ascii="Arial" w:hAnsi="Arial" w:cs="Arial"/>
                <w:sz w:val="18"/>
                <w:szCs w:val="18"/>
              </w:rPr>
              <w:t>+ 15</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 xml:space="preserve">Jede weitere </w:t>
            </w:r>
          </w:p>
        </w:tc>
        <w:tc>
          <w:tcPr>
            <w:tcW w:w="741" w:type="pct"/>
            <w:vAlign w:val="center"/>
          </w:tcPr>
          <w:p>
            <w:pPr>
              <w:spacing w:before="120" w:after="120"/>
              <w:rPr>
                <w:rFonts w:ascii="Arial" w:hAnsi="Arial" w:cs="Arial"/>
                <w:sz w:val="18"/>
                <w:szCs w:val="18"/>
              </w:rPr>
            </w:pPr>
            <w:r>
              <w:rPr>
                <w:rFonts w:ascii="Arial" w:hAnsi="Arial" w:cs="Arial"/>
                <w:sz w:val="18"/>
                <w:szCs w:val="18"/>
              </w:rPr>
              <w:t>4,75</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+ 71,25</w:t>
            </w:r>
          </w:p>
        </w:tc>
        <w:tc>
          <w:tcPr>
            <w:tcW w:w="741" w:type="pct"/>
            <w:vAlign w:val="center"/>
          </w:tcPr>
          <w:p>
            <w:pPr>
              <w:spacing w:before="120" w:after="120"/>
              <w:rPr>
                <w:rFonts w:ascii="Arial" w:hAnsi="Arial" w:cs="Arial"/>
                <w:sz w:val="18"/>
                <w:szCs w:val="18"/>
              </w:rPr>
            </w:pPr>
            <w:r>
              <w:rPr>
                <w:rFonts w:ascii="Arial" w:hAnsi="Arial" w:cs="Arial"/>
                <w:sz w:val="18"/>
                <w:szCs w:val="18"/>
              </w:rPr>
              <w:t>1,04</w:t>
            </w:r>
          </w:p>
        </w:tc>
        <w:tc>
          <w:tcPr>
            <w:tcW w:w="74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+ 15,60</w:t>
            </w:r>
          </w:p>
        </w:tc>
        <w:tc>
          <w:tcPr>
            <w:tcW w:w="736" w:type="pct"/>
            <w:vAlign w:val="center"/>
          </w:tcPr>
          <w:p>
            <w:pPr>
              <w:spacing w:before="120" w:after="120"/>
              <w:rPr>
                <w:rFonts w:ascii="Arial" w:hAnsi="Arial" w:cs="Arial"/>
                <w:sz w:val="18"/>
                <w:szCs w:val="18"/>
              </w:rPr>
            </w:pPr>
            <w:r>
              <w:rPr>
                <w:rFonts w:ascii="Arial" w:hAnsi="Arial" w:cs="Arial"/>
                <w:sz w:val="18"/>
                <w:szCs w:val="18"/>
              </w:rPr>
              <w:t>+ 86,85</w:t>
            </w:r>
          </w:p>
        </w:tc>
      </w:tr>
    </w:tbl>
    <w:p>
      <w:pPr>
        <w:pStyle w:val="Listenabsatz"/>
        <w:ind w:left="1080"/>
        <w:jc w:val="both"/>
        <w:rPr>
          <w:rFonts w:ascii="Arial" w:hAnsi="Arial" w:cs="Arial"/>
          <w:b/>
        </w:rPr>
      </w:pPr>
      <w:bookmarkStart w:id="0" w:name="_GoBack"/>
      <w:bookmarkEnd w:id="0"/>
    </w:p>
    <w:p>
      <w:pPr>
        <w:pStyle w:val="Listenabsatz"/>
        <w:numPr>
          <w:ilvl w:val="0"/>
          <w:numId w:val="15"/>
        </w:numPr>
        <w:spacing w:line="360" w:lineRule="auto"/>
        <w:jc w:val="both"/>
        <w:rPr>
          <w:rFonts w:ascii="Arial" w:hAnsi="Arial" w:cs="Arial"/>
          <w:b/>
        </w:rPr>
      </w:pPr>
      <w:r>
        <w:rPr>
          <w:rFonts w:ascii="Arial" w:hAnsi="Arial" w:cs="Arial"/>
          <w:b/>
        </w:rPr>
        <w:lastRenderedPageBreak/>
        <w:t>Höhe der Bruttokaltmieten</w:t>
      </w:r>
    </w:p>
    <w:p>
      <w:pPr>
        <w:spacing w:line="360" w:lineRule="auto"/>
        <w:jc w:val="both"/>
        <w:rPr>
          <w:rFonts w:ascii="Arial" w:hAnsi="Arial" w:cs="Arial"/>
        </w:rPr>
      </w:pPr>
      <w:r>
        <w:rPr>
          <w:rFonts w:ascii="Arial" w:hAnsi="Arial" w:cs="Arial"/>
        </w:rPr>
        <w:t>Der Gesamtmietpreis der Wohnung, d.h. die Summe aus der Nettokaltmiete und den kalten Betriebskosten (= Bruttokaltmiete) bestimmt nach einhelliger Auffassung der Gerichte und ständiger Rechtsprechung des Bundessozialgerichtes die Angemessenheit.</w:t>
      </w:r>
    </w:p>
    <w:p>
      <w:pPr>
        <w:spacing w:after="0" w:line="360" w:lineRule="auto"/>
        <w:jc w:val="both"/>
        <w:rPr>
          <w:rFonts w:ascii="Arial" w:hAnsi="Arial" w:cs="Arial"/>
        </w:rPr>
      </w:pPr>
    </w:p>
    <w:tbl>
      <w:tblPr>
        <w:tblStyle w:val="Tabellenraster"/>
        <w:tblW w:w="5000" w:type="pct"/>
        <w:shd w:val="clear" w:color="auto" w:fill="EAF1DD" w:themeFill="accent3" w:themeFillTint="33"/>
        <w:tblLook w:val="04A0" w:firstRow="1" w:lastRow="0" w:firstColumn="1" w:lastColumn="0" w:noHBand="0" w:noVBand="1"/>
      </w:tblPr>
      <w:tblGrid>
        <w:gridCol w:w="383"/>
        <w:gridCol w:w="2844"/>
        <w:gridCol w:w="1211"/>
        <w:gridCol w:w="1211"/>
        <w:gridCol w:w="1211"/>
        <w:gridCol w:w="1211"/>
        <w:gridCol w:w="1217"/>
      </w:tblGrid>
      <w:tr>
        <w:tc>
          <w:tcPr>
            <w:tcW w:w="5000" w:type="pct"/>
            <w:gridSpan w:val="7"/>
            <w:shd w:val="clear" w:color="auto" w:fill="EAF1DD" w:themeFill="accent3" w:themeFillTint="33"/>
          </w:tcPr>
          <w:p>
            <w:pPr>
              <w:spacing w:before="240" w:after="240"/>
              <w:jc w:val="both"/>
              <w:rPr>
                <w:rFonts w:ascii="Arial" w:hAnsi="Arial" w:cs="Arial"/>
                <w:b/>
              </w:rPr>
            </w:pPr>
            <w:r>
              <w:rPr>
                <w:rFonts w:ascii="Arial" w:hAnsi="Arial" w:cs="Arial"/>
                <w:b/>
              </w:rPr>
              <w:t>2015 - Richtwerte (Höhe der Bruttokaltmieten in €):</w:t>
            </w:r>
          </w:p>
        </w:tc>
      </w:tr>
      <w:tr>
        <w:tc>
          <w:tcPr>
            <w:tcW w:w="1737" w:type="pct"/>
            <w:gridSpan w:val="2"/>
            <w:shd w:val="clear" w:color="auto" w:fill="EAF1DD" w:themeFill="accent3" w:themeFillTint="33"/>
            <w:vAlign w:val="center"/>
          </w:tcPr>
          <w:p>
            <w:pPr>
              <w:rPr>
                <w:rFonts w:ascii="Arial" w:hAnsi="Arial" w:cs="Arial"/>
                <w:b/>
              </w:rPr>
            </w:pPr>
            <w:r>
              <w:rPr>
                <w:rFonts w:ascii="Arial" w:hAnsi="Arial" w:cs="Arial"/>
                <w:b/>
              </w:rPr>
              <w:t>Wohnungsmarkttyp</w:t>
            </w:r>
          </w:p>
        </w:tc>
        <w:tc>
          <w:tcPr>
            <w:tcW w:w="652" w:type="pct"/>
            <w:shd w:val="clear" w:color="auto" w:fill="EAF1DD" w:themeFill="accent3" w:themeFillTint="33"/>
            <w:vAlign w:val="center"/>
          </w:tcPr>
          <w:p>
            <w:pPr>
              <w:spacing w:before="120" w:after="120"/>
              <w:jc w:val="center"/>
              <w:rPr>
                <w:rFonts w:ascii="Arial" w:hAnsi="Arial" w:cs="Arial"/>
                <w:b/>
                <w:sz w:val="18"/>
                <w:szCs w:val="18"/>
              </w:rPr>
            </w:pPr>
            <w:r>
              <w:rPr>
                <w:rFonts w:ascii="Arial" w:hAnsi="Arial" w:cs="Arial"/>
                <w:b/>
                <w:sz w:val="18"/>
                <w:szCs w:val="18"/>
              </w:rPr>
              <w:t>1 Person</w:t>
            </w:r>
            <w:r>
              <w:rPr>
                <w:rFonts w:ascii="Arial" w:hAnsi="Arial" w:cs="Arial"/>
                <w:b/>
                <w:sz w:val="18"/>
                <w:szCs w:val="18"/>
              </w:rPr>
              <w:br/>
              <w:t xml:space="preserve">bis zu </w:t>
            </w:r>
            <w:r>
              <w:rPr>
                <w:rFonts w:ascii="Arial" w:hAnsi="Arial" w:cs="Arial"/>
                <w:b/>
                <w:sz w:val="18"/>
                <w:szCs w:val="18"/>
              </w:rPr>
              <w:br/>
              <w:t>49 m²</w:t>
            </w:r>
          </w:p>
        </w:tc>
        <w:tc>
          <w:tcPr>
            <w:tcW w:w="652" w:type="pct"/>
            <w:shd w:val="clear" w:color="auto" w:fill="EAF1DD" w:themeFill="accent3" w:themeFillTint="33"/>
            <w:vAlign w:val="center"/>
          </w:tcPr>
          <w:p>
            <w:pPr>
              <w:spacing w:before="120" w:after="120"/>
              <w:jc w:val="center"/>
              <w:rPr>
                <w:rFonts w:ascii="Arial" w:hAnsi="Arial" w:cs="Arial"/>
                <w:b/>
                <w:sz w:val="18"/>
                <w:szCs w:val="18"/>
              </w:rPr>
            </w:pPr>
            <w:r>
              <w:rPr>
                <w:rFonts w:ascii="Arial" w:hAnsi="Arial" w:cs="Arial"/>
                <w:b/>
                <w:sz w:val="18"/>
                <w:szCs w:val="18"/>
              </w:rPr>
              <w:t>2 Personen</w:t>
            </w:r>
            <w:r>
              <w:rPr>
                <w:rFonts w:ascii="Arial" w:hAnsi="Arial" w:cs="Arial"/>
                <w:b/>
                <w:sz w:val="18"/>
                <w:szCs w:val="18"/>
              </w:rPr>
              <w:br/>
              <w:t>49 bis zu 60 m²</w:t>
            </w:r>
          </w:p>
        </w:tc>
        <w:tc>
          <w:tcPr>
            <w:tcW w:w="652" w:type="pct"/>
            <w:shd w:val="clear" w:color="auto" w:fill="EAF1DD" w:themeFill="accent3" w:themeFillTint="33"/>
            <w:vAlign w:val="center"/>
          </w:tcPr>
          <w:p>
            <w:pPr>
              <w:spacing w:before="120" w:after="120"/>
              <w:jc w:val="center"/>
              <w:rPr>
                <w:rFonts w:ascii="Arial" w:hAnsi="Arial" w:cs="Arial"/>
                <w:b/>
                <w:sz w:val="18"/>
                <w:szCs w:val="18"/>
              </w:rPr>
            </w:pPr>
            <w:r>
              <w:rPr>
                <w:rFonts w:ascii="Arial" w:hAnsi="Arial" w:cs="Arial"/>
                <w:b/>
                <w:sz w:val="18"/>
                <w:szCs w:val="18"/>
              </w:rPr>
              <w:t>3 Personen</w:t>
            </w:r>
            <w:r>
              <w:rPr>
                <w:rFonts w:ascii="Arial" w:hAnsi="Arial" w:cs="Arial"/>
                <w:b/>
                <w:sz w:val="18"/>
                <w:szCs w:val="18"/>
              </w:rPr>
              <w:br/>
              <w:t>60 bis zu 75 m²</w:t>
            </w:r>
          </w:p>
        </w:tc>
        <w:tc>
          <w:tcPr>
            <w:tcW w:w="652" w:type="pct"/>
            <w:shd w:val="clear" w:color="auto" w:fill="EAF1DD" w:themeFill="accent3" w:themeFillTint="33"/>
            <w:vAlign w:val="center"/>
          </w:tcPr>
          <w:p>
            <w:pPr>
              <w:spacing w:before="120" w:after="120"/>
              <w:jc w:val="center"/>
              <w:rPr>
                <w:rFonts w:ascii="Arial" w:hAnsi="Arial" w:cs="Arial"/>
                <w:b/>
                <w:sz w:val="18"/>
                <w:szCs w:val="18"/>
              </w:rPr>
            </w:pPr>
            <w:r>
              <w:rPr>
                <w:rFonts w:ascii="Arial" w:hAnsi="Arial" w:cs="Arial"/>
                <w:b/>
                <w:sz w:val="18"/>
                <w:szCs w:val="18"/>
              </w:rPr>
              <w:t>4 Personen</w:t>
            </w:r>
            <w:r>
              <w:rPr>
                <w:rFonts w:ascii="Arial" w:hAnsi="Arial" w:cs="Arial"/>
                <w:b/>
                <w:sz w:val="18"/>
                <w:szCs w:val="18"/>
              </w:rPr>
              <w:br/>
              <w:t>75 bis zu 90 m²</w:t>
            </w:r>
          </w:p>
        </w:tc>
        <w:tc>
          <w:tcPr>
            <w:tcW w:w="653" w:type="pct"/>
            <w:shd w:val="clear" w:color="auto" w:fill="EAF1DD" w:themeFill="accent3" w:themeFillTint="33"/>
            <w:vAlign w:val="center"/>
          </w:tcPr>
          <w:p>
            <w:pPr>
              <w:spacing w:before="120" w:after="120"/>
              <w:jc w:val="center"/>
              <w:rPr>
                <w:rFonts w:ascii="Arial" w:hAnsi="Arial" w:cs="Arial"/>
                <w:b/>
                <w:sz w:val="18"/>
                <w:szCs w:val="18"/>
              </w:rPr>
            </w:pPr>
            <w:r>
              <w:rPr>
                <w:rFonts w:ascii="Arial" w:hAnsi="Arial" w:cs="Arial"/>
                <w:b/>
                <w:sz w:val="18"/>
                <w:szCs w:val="18"/>
              </w:rPr>
              <w:t>5 Personen</w:t>
            </w:r>
            <w:r>
              <w:rPr>
                <w:rFonts w:ascii="Arial" w:hAnsi="Arial" w:cs="Arial"/>
                <w:b/>
                <w:sz w:val="18"/>
                <w:szCs w:val="18"/>
              </w:rPr>
              <w:br/>
              <w:t>90 bis zu 105 m²</w:t>
            </w:r>
          </w:p>
        </w:tc>
      </w:tr>
      <w:tr>
        <w:tc>
          <w:tcPr>
            <w:tcW w:w="206" w:type="pct"/>
            <w:shd w:val="clear" w:color="auto" w:fill="EAF1DD" w:themeFill="accent3" w:themeFillTint="33"/>
            <w:vAlign w:val="center"/>
          </w:tcPr>
          <w:p>
            <w:pPr>
              <w:rPr>
                <w:rFonts w:ascii="Arial" w:hAnsi="Arial" w:cs="Arial"/>
                <w:b/>
                <w:sz w:val="20"/>
                <w:szCs w:val="20"/>
              </w:rPr>
            </w:pPr>
            <w:r>
              <w:rPr>
                <w:rFonts w:ascii="Arial" w:hAnsi="Arial" w:cs="Arial"/>
                <w:b/>
                <w:sz w:val="20"/>
                <w:szCs w:val="20"/>
              </w:rPr>
              <w:t>I</w:t>
            </w:r>
          </w:p>
        </w:tc>
        <w:tc>
          <w:tcPr>
            <w:tcW w:w="153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 xml:space="preserve">Am </w:t>
            </w:r>
            <w:proofErr w:type="spellStart"/>
            <w:r>
              <w:rPr>
                <w:rFonts w:ascii="Arial" w:hAnsi="Arial" w:cs="Arial"/>
                <w:b/>
                <w:sz w:val="18"/>
                <w:szCs w:val="18"/>
              </w:rPr>
              <w:t>Ohmberg</w:t>
            </w:r>
            <w:proofErr w:type="spellEnd"/>
            <w:r>
              <w:rPr>
                <w:rFonts w:ascii="Arial" w:hAnsi="Arial" w:cs="Arial"/>
                <w:b/>
                <w:sz w:val="18"/>
                <w:szCs w:val="18"/>
              </w:rPr>
              <w:t xml:space="preserve">, </w:t>
            </w:r>
            <w:r>
              <w:rPr>
                <w:rFonts w:ascii="Arial" w:hAnsi="Arial" w:cs="Arial"/>
                <w:b/>
                <w:sz w:val="18"/>
                <w:szCs w:val="18"/>
              </w:rPr>
              <w:br/>
              <w:t xml:space="preserve">VG </w:t>
            </w:r>
            <w:proofErr w:type="spellStart"/>
            <w:r>
              <w:rPr>
                <w:rFonts w:ascii="Arial" w:hAnsi="Arial" w:cs="Arial"/>
                <w:b/>
                <w:sz w:val="18"/>
                <w:szCs w:val="18"/>
              </w:rPr>
              <w:t>Dingelstädt</w:t>
            </w:r>
            <w:proofErr w:type="spellEnd"/>
            <w:r>
              <w:rPr>
                <w:rFonts w:ascii="Arial" w:hAnsi="Arial" w:cs="Arial"/>
                <w:b/>
                <w:sz w:val="18"/>
                <w:szCs w:val="18"/>
              </w:rPr>
              <w:t xml:space="preserve">, </w:t>
            </w:r>
            <w:r>
              <w:rPr>
                <w:rFonts w:ascii="Arial" w:hAnsi="Arial" w:cs="Arial"/>
                <w:b/>
                <w:sz w:val="18"/>
                <w:szCs w:val="18"/>
              </w:rPr>
              <w:br/>
              <w:t xml:space="preserve">VG Eichsfelder Kessel, </w:t>
            </w:r>
            <w:r>
              <w:rPr>
                <w:rFonts w:ascii="Arial" w:hAnsi="Arial" w:cs="Arial"/>
                <w:b/>
                <w:sz w:val="18"/>
                <w:szCs w:val="18"/>
              </w:rPr>
              <w:br/>
              <w:t xml:space="preserve">VG </w:t>
            </w:r>
            <w:proofErr w:type="spellStart"/>
            <w:r>
              <w:rPr>
                <w:rFonts w:ascii="Arial" w:hAnsi="Arial" w:cs="Arial"/>
                <w:b/>
                <w:sz w:val="18"/>
                <w:szCs w:val="18"/>
              </w:rPr>
              <w:t>Ershausen</w:t>
            </w:r>
            <w:proofErr w:type="spellEnd"/>
            <w:r>
              <w:rPr>
                <w:rFonts w:ascii="Arial" w:hAnsi="Arial" w:cs="Arial"/>
                <w:b/>
                <w:sz w:val="18"/>
                <w:szCs w:val="18"/>
              </w:rPr>
              <w:t>/</w:t>
            </w:r>
            <w:proofErr w:type="spellStart"/>
            <w:r>
              <w:rPr>
                <w:rFonts w:ascii="Arial" w:hAnsi="Arial" w:cs="Arial"/>
                <w:b/>
                <w:sz w:val="18"/>
                <w:szCs w:val="18"/>
              </w:rPr>
              <w:t>Geismar</w:t>
            </w:r>
            <w:proofErr w:type="spellEnd"/>
            <w:r>
              <w:rPr>
                <w:rFonts w:ascii="Arial" w:hAnsi="Arial" w:cs="Arial"/>
                <w:b/>
                <w:sz w:val="18"/>
                <w:szCs w:val="18"/>
              </w:rPr>
              <w:t xml:space="preserve">, </w:t>
            </w:r>
            <w:r>
              <w:rPr>
                <w:rFonts w:ascii="Arial" w:hAnsi="Arial" w:cs="Arial"/>
                <w:b/>
                <w:sz w:val="18"/>
                <w:szCs w:val="18"/>
              </w:rPr>
              <w:br/>
              <w:t xml:space="preserve">Sonnenstein und </w:t>
            </w:r>
            <w:r>
              <w:rPr>
                <w:rFonts w:ascii="Arial" w:hAnsi="Arial" w:cs="Arial"/>
                <w:b/>
                <w:sz w:val="18"/>
                <w:szCs w:val="18"/>
              </w:rPr>
              <w:br/>
              <w:t>VG Westerwald-</w:t>
            </w:r>
            <w:proofErr w:type="spellStart"/>
            <w:r>
              <w:rPr>
                <w:rFonts w:ascii="Arial" w:hAnsi="Arial" w:cs="Arial"/>
                <w:b/>
                <w:sz w:val="18"/>
                <w:szCs w:val="18"/>
              </w:rPr>
              <w:t>Obereichsfeld</w:t>
            </w:r>
            <w:proofErr w:type="spellEnd"/>
          </w:p>
        </w:tc>
        <w:tc>
          <w:tcPr>
            <w:tcW w:w="652" w:type="pct"/>
            <w:shd w:val="clear" w:color="auto" w:fill="EAF1DD" w:themeFill="accent3" w:themeFillTint="33"/>
            <w:vAlign w:val="center"/>
          </w:tcPr>
          <w:p>
            <w:pPr>
              <w:ind w:left="-108" w:right="-108"/>
              <w:jc w:val="center"/>
              <w:rPr>
                <w:rFonts w:ascii="Arial" w:hAnsi="Arial" w:cs="Arial"/>
                <w:b/>
              </w:rPr>
            </w:pPr>
            <w:r>
              <w:rPr>
                <w:rFonts w:ascii="Arial" w:hAnsi="Arial" w:cs="Arial"/>
                <w:b/>
              </w:rPr>
              <w:t>263,62</w:t>
            </w:r>
          </w:p>
        </w:tc>
        <w:tc>
          <w:tcPr>
            <w:tcW w:w="652" w:type="pct"/>
            <w:shd w:val="clear" w:color="auto" w:fill="EAF1DD" w:themeFill="accent3" w:themeFillTint="33"/>
            <w:vAlign w:val="center"/>
          </w:tcPr>
          <w:p>
            <w:pPr>
              <w:ind w:left="-108" w:right="-108"/>
              <w:jc w:val="center"/>
              <w:rPr>
                <w:rFonts w:ascii="Arial" w:hAnsi="Arial" w:cs="Arial"/>
                <w:b/>
              </w:rPr>
            </w:pPr>
            <w:r>
              <w:rPr>
                <w:rFonts w:ascii="Arial" w:hAnsi="Arial" w:cs="Arial"/>
                <w:b/>
              </w:rPr>
              <w:t>330,00</w:t>
            </w:r>
          </w:p>
        </w:tc>
        <w:tc>
          <w:tcPr>
            <w:tcW w:w="652" w:type="pct"/>
            <w:shd w:val="clear" w:color="auto" w:fill="EAF1DD" w:themeFill="accent3" w:themeFillTint="33"/>
            <w:vAlign w:val="center"/>
          </w:tcPr>
          <w:p>
            <w:pPr>
              <w:ind w:left="-108" w:right="-108"/>
              <w:jc w:val="center"/>
              <w:rPr>
                <w:rFonts w:ascii="Arial" w:hAnsi="Arial" w:cs="Arial"/>
                <w:b/>
              </w:rPr>
            </w:pPr>
            <w:r>
              <w:rPr>
                <w:rFonts w:ascii="Arial" w:hAnsi="Arial" w:cs="Arial"/>
                <w:b/>
              </w:rPr>
              <w:t>401,25</w:t>
            </w:r>
          </w:p>
        </w:tc>
        <w:tc>
          <w:tcPr>
            <w:tcW w:w="652" w:type="pct"/>
            <w:shd w:val="clear" w:color="auto" w:fill="EAF1DD" w:themeFill="accent3" w:themeFillTint="33"/>
            <w:vAlign w:val="center"/>
          </w:tcPr>
          <w:p>
            <w:pPr>
              <w:ind w:left="-108" w:right="-108"/>
              <w:jc w:val="center"/>
              <w:rPr>
                <w:rFonts w:ascii="Arial" w:hAnsi="Arial" w:cs="Arial"/>
                <w:b/>
              </w:rPr>
            </w:pPr>
            <w:r>
              <w:rPr>
                <w:rFonts w:ascii="Arial" w:hAnsi="Arial" w:cs="Arial"/>
                <w:b/>
              </w:rPr>
              <w:t>468,90</w:t>
            </w:r>
          </w:p>
        </w:tc>
        <w:tc>
          <w:tcPr>
            <w:tcW w:w="653" w:type="pct"/>
            <w:shd w:val="clear" w:color="auto" w:fill="EAF1DD" w:themeFill="accent3" w:themeFillTint="33"/>
            <w:vAlign w:val="center"/>
          </w:tcPr>
          <w:p>
            <w:pPr>
              <w:ind w:left="-108" w:right="-108"/>
              <w:jc w:val="center"/>
              <w:rPr>
                <w:rFonts w:ascii="Arial" w:hAnsi="Arial" w:cs="Arial"/>
                <w:b/>
              </w:rPr>
            </w:pPr>
            <w:r>
              <w:rPr>
                <w:rFonts w:ascii="Arial" w:hAnsi="Arial" w:cs="Arial"/>
                <w:b/>
              </w:rPr>
              <w:t>490,35</w:t>
            </w:r>
          </w:p>
        </w:tc>
      </w:tr>
      <w:tr>
        <w:tc>
          <w:tcPr>
            <w:tcW w:w="206" w:type="pct"/>
            <w:shd w:val="clear" w:color="auto" w:fill="EAF1DD" w:themeFill="accent3" w:themeFillTint="33"/>
            <w:vAlign w:val="center"/>
          </w:tcPr>
          <w:p>
            <w:pPr>
              <w:rPr>
                <w:rFonts w:ascii="Arial" w:hAnsi="Arial" w:cs="Arial"/>
                <w:b/>
                <w:sz w:val="20"/>
                <w:szCs w:val="20"/>
              </w:rPr>
            </w:pPr>
            <w:r>
              <w:rPr>
                <w:rFonts w:ascii="Arial" w:hAnsi="Arial" w:cs="Arial"/>
                <w:b/>
                <w:sz w:val="20"/>
                <w:szCs w:val="20"/>
              </w:rPr>
              <w:t>II</w:t>
            </w:r>
          </w:p>
        </w:tc>
        <w:tc>
          <w:tcPr>
            <w:tcW w:w="153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VG Eichsfeld-</w:t>
            </w:r>
            <w:proofErr w:type="spellStart"/>
            <w:r>
              <w:rPr>
                <w:rFonts w:ascii="Arial" w:hAnsi="Arial" w:cs="Arial"/>
                <w:b/>
                <w:sz w:val="18"/>
                <w:szCs w:val="18"/>
              </w:rPr>
              <w:t>Wipperaue</w:t>
            </w:r>
            <w:proofErr w:type="spellEnd"/>
            <w:r>
              <w:rPr>
                <w:rFonts w:ascii="Arial" w:hAnsi="Arial" w:cs="Arial"/>
                <w:b/>
                <w:sz w:val="18"/>
                <w:szCs w:val="18"/>
              </w:rPr>
              <w:t>,</w:t>
            </w:r>
            <w:r>
              <w:rPr>
                <w:rFonts w:ascii="Arial" w:hAnsi="Arial" w:cs="Arial"/>
                <w:b/>
                <w:sz w:val="18"/>
                <w:szCs w:val="18"/>
              </w:rPr>
              <w:br/>
              <w:t xml:space="preserve">VG </w:t>
            </w:r>
            <w:proofErr w:type="spellStart"/>
            <w:r>
              <w:rPr>
                <w:rFonts w:ascii="Arial" w:hAnsi="Arial" w:cs="Arial"/>
                <w:b/>
                <w:sz w:val="18"/>
                <w:szCs w:val="18"/>
              </w:rPr>
              <w:t>Hanstein-Rusteberg</w:t>
            </w:r>
            <w:proofErr w:type="spellEnd"/>
            <w:r>
              <w:rPr>
                <w:rFonts w:ascii="Arial" w:hAnsi="Arial" w:cs="Arial"/>
                <w:b/>
                <w:sz w:val="18"/>
                <w:szCs w:val="18"/>
              </w:rPr>
              <w:t>,</w:t>
            </w:r>
            <w:r>
              <w:rPr>
                <w:rFonts w:ascii="Arial" w:hAnsi="Arial" w:cs="Arial"/>
                <w:b/>
                <w:sz w:val="18"/>
                <w:szCs w:val="18"/>
              </w:rPr>
              <w:br/>
              <w:t xml:space="preserve">VG </w:t>
            </w:r>
            <w:proofErr w:type="spellStart"/>
            <w:r>
              <w:rPr>
                <w:rFonts w:ascii="Arial" w:hAnsi="Arial" w:cs="Arial"/>
                <w:b/>
                <w:sz w:val="18"/>
                <w:szCs w:val="18"/>
              </w:rPr>
              <w:t>Leinetal</w:t>
            </w:r>
            <w:proofErr w:type="spellEnd"/>
            <w:r>
              <w:rPr>
                <w:rFonts w:ascii="Arial" w:hAnsi="Arial" w:cs="Arial"/>
                <w:b/>
                <w:sz w:val="18"/>
                <w:szCs w:val="18"/>
              </w:rPr>
              <w:t>,</w:t>
            </w:r>
            <w:r>
              <w:rPr>
                <w:rFonts w:ascii="Arial" w:hAnsi="Arial" w:cs="Arial"/>
                <w:b/>
                <w:sz w:val="18"/>
                <w:szCs w:val="18"/>
              </w:rPr>
              <w:br/>
              <w:t xml:space="preserve">VG Lindenberg/Eichsfeld und </w:t>
            </w:r>
            <w:r>
              <w:rPr>
                <w:rFonts w:ascii="Arial" w:hAnsi="Arial" w:cs="Arial"/>
                <w:b/>
                <w:sz w:val="18"/>
                <w:szCs w:val="18"/>
              </w:rPr>
              <w:br/>
              <w:t xml:space="preserve">VG </w:t>
            </w:r>
            <w:proofErr w:type="spellStart"/>
            <w:r>
              <w:rPr>
                <w:rFonts w:ascii="Arial" w:hAnsi="Arial" w:cs="Arial"/>
                <w:b/>
                <w:sz w:val="18"/>
                <w:szCs w:val="18"/>
              </w:rPr>
              <w:t>Uder</w:t>
            </w:r>
            <w:proofErr w:type="spellEnd"/>
          </w:p>
        </w:tc>
        <w:tc>
          <w:tcPr>
            <w:tcW w:w="652" w:type="pct"/>
            <w:shd w:val="clear" w:color="auto" w:fill="EAF1DD" w:themeFill="accent3" w:themeFillTint="33"/>
            <w:vAlign w:val="center"/>
          </w:tcPr>
          <w:p>
            <w:pPr>
              <w:ind w:left="-108" w:right="-108"/>
              <w:jc w:val="center"/>
              <w:rPr>
                <w:rFonts w:ascii="Arial" w:hAnsi="Arial" w:cs="Arial"/>
                <w:b/>
              </w:rPr>
            </w:pPr>
            <w:r>
              <w:rPr>
                <w:rFonts w:ascii="Arial" w:hAnsi="Arial" w:cs="Arial"/>
                <w:b/>
              </w:rPr>
              <w:t>266,56</w:t>
            </w:r>
          </w:p>
        </w:tc>
        <w:tc>
          <w:tcPr>
            <w:tcW w:w="652" w:type="pct"/>
            <w:shd w:val="clear" w:color="auto" w:fill="EAF1DD" w:themeFill="accent3" w:themeFillTint="33"/>
            <w:vAlign w:val="center"/>
          </w:tcPr>
          <w:p>
            <w:pPr>
              <w:ind w:left="-108" w:right="-108"/>
              <w:jc w:val="center"/>
              <w:rPr>
                <w:rFonts w:ascii="Arial" w:hAnsi="Arial" w:cs="Arial"/>
                <w:b/>
              </w:rPr>
            </w:pPr>
            <w:r>
              <w:rPr>
                <w:rFonts w:ascii="Arial" w:hAnsi="Arial" w:cs="Arial"/>
                <w:b/>
              </w:rPr>
              <w:t>332,40</w:t>
            </w:r>
          </w:p>
        </w:tc>
        <w:tc>
          <w:tcPr>
            <w:tcW w:w="652" w:type="pct"/>
            <w:shd w:val="clear" w:color="auto" w:fill="EAF1DD" w:themeFill="accent3" w:themeFillTint="33"/>
            <w:vAlign w:val="center"/>
          </w:tcPr>
          <w:p>
            <w:pPr>
              <w:ind w:left="-108" w:right="-108"/>
              <w:jc w:val="center"/>
              <w:rPr>
                <w:rFonts w:ascii="Arial" w:hAnsi="Arial" w:cs="Arial"/>
                <w:b/>
              </w:rPr>
            </w:pPr>
            <w:r>
              <w:rPr>
                <w:rFonts w:ascii="Arial" w:hAnsi="Arial" w:cs="Arial"/>
                <w:b/>
              </w:rPr>
              <w:t>421,50</w:t>
            </w:r>
          </w:p>
        </w:tc>
        <w:tc>
          <w:tcPr>
            <w:tcW w:w="652" w:type="pct"/>
            <w:shd w:val="clear" w:color="auto" w:fill="EAF1DD" w:themeFill="accent3" w:themeFillTint="33"/>
            <w:vAlign w:val="center"/>
          </w:tcPr>
          <w:p>
            <w:pPr>
              <w:ind w:left="-108" w:right="-108"/>
              <w:jc w:val="center"/>
              <w:rPr>
                <w:rFonts w:ascii="Arial" w:hAnsi="Arial" w:cs="Arial"/>
                <w:b/>
              </w:rPr>
            </w:pPr>
            <w:r>
              <w:rPr>
                <w:rFonts w:ascii="Arial" w:hAnsi="Arial" w:cs="Arial"/>
                <w:b/>
              </w:rPr>
              <w:t>513,00</w:t>
            </w:r>
          </w:p>
        </w:tc>
        <w:tc>
          <w:tcPr>
            <w:tcW w:w="653" w:type="pct"/>
            <w:shd w:val="clear" w:color="auto" w:fill="EAF1DD" w:themeFill="accent3" w:themeFillTint="33"/>
            <w:vAlign w:val="center"/>
          </w:tcPr>
          <w:p>
            <w:pPr>
              <w:ind w:left="-108" w:right="-108"/>
              <w:jc w:val="center"/>
              <w:rPr>
                <w:rFonts w:ascii="Arial" w:hAnsi="Arial" w:cs="Arial"/>
                <w:b/>
              </w:rPr>
            </w:pPr>
            <w:r>
              <w:rPr>
                <w:rFonts w:ascii="Arial" w:hAnsi="Arial" w:cs="Arial"/>
                <w:b/>
              </w:rPr>
              <w:t>513,00</w:t>
            </w:r>
          </w:p>
        </w:tc>
      </w:tr>
      <w:tr>
        <w:tc>
          <w:tcPr>
            <w:tcW w:w="206" w:type="pct"/>
            <w:shd w:val="clear" w:color="auto" w:fill="EAF1DD" w:themeFill="accent3" w:themeFillTint="33"/>
            <w:vAlign w:val="center"/>
          </w:tcPr>
          <w:p>
            <w:pPr>
              <w:rPr>
                <w:rFonts w:ascii="Arial" w:hAnsi="Arial" w:cs="Arial"/>
                <w:b/>
                <w:sz w:val="20"/>
                <w:szCs w:val="20"/>
              </w:rPr>
            </w:pPr>
            <w:r>
              <w:rPr>
                <w:rFonts w:ascii="Arial" w:hAnsi="Arial" w:cs="Arial"/>
                <w:b/>
                <w:sz w:val="20"/>
                <w:szCs w:val="20"/>
              </w:rPr>
              <w:t>III</w:t>
            </w:r>
          </w:p>
        </w:tc>
        <w:tc>
          <w:tcPr>
            <w:tcW w:w="1531" w:type="pct"/>
            <w:shd w:val="clear" w:color="auto" w:fill="EAF1DD" w:themeFill="accent3" w:themeFillTint="33"/>
            <w:vAlign w:val="center"/>
          </w:tcPr>
          <w:p>
            <w:pPr>
              <w:spacing w:before="120" w:after="120"/>
              <w:rPr>
                <w:rFonts w:ascii="Arial" w:hAnsi="Arial" w:cs="Arial"/>
                <w:b/>
                <w:sz w:val="18"/>
                <w:szCs w:val="18"/>
              </w:rPr>
            </w:pPr>
            <w:r>
              <w:rPr>
                <w:rFonts w:ascii="Arial" w:hAnsi="Arial" w:cs="Arial"/>
                <w:b/>
                <w:sz w:val="18"/>
                <w:szCs w:val="18"/>
              </w:rPr>
              <w:t>Heilbad Heiligenstadt,</w:t>
            </w:r>
            <w:r>
              <w:rPr>
                <w:rFonts w:ascii="Arial" w:hAnsi="Arial" w:cs="Arial"/>
                <w:b/>
                <w:sz w:val="18"/>
                <w:szCs w:val="18"/>
              </w:rPr>
              <w:br/>
              <w:t>Leinefelde-Worbis und</w:t>
            </w:r>
            <w:r>
              <w:rPr>
                <w:rFonts w:ascii="Arial" w:hAnsi="Arial" w:cs="Arial"/>
                <w:b/>
                <w:sz w:val="18"/>
                <w:szCs w:val="18"/>
              </w:rPr>
              <w:br/>
              <w:t>Ortsteile der Städte</w:t>
            </w:r>
          </w:p>
        </w:tc>
        <w:tc>
          <w:tcPr>
            <w:tcW w:w="652" w:type="pct"/>
            <w:shd w:val="clear" w:color="auto" w:fill="EAF1DD" w:themeFill="accent3" w:themeFillTint="33"/>
            <w:vAlign w:val="center"/>
          </w:tcPr>
          <w:p>
            <w:pPr>
              <w:ind w:left="-108" w:right="-108"/>
              <w:jc w:val="center"/>
              <w:rPr>
                <w:rFonts w:ascii="Arial" w:hAnsi="Arial" w:cs="Arial"/>
                <w:b/>
              </w:rPr>
            </w:pPr>
            <w:r>
              <w:rPr>
                <w:rFonts w:ascii="Arial" w:hAnsi="Arial" w:cs="Arial"/>
                <w:b/>
              </w:rPr>
              <w:t>277,83</w:t>
            </w:r>
          </w:p>
        </w:tc>
        <w:tc>
          <w:tcPr>
            <w:tcW w:w="652" w:type="pct"/>
            <w:shd w:val="clear" w:color="auto" w:fill="EAF1DD" w:themeFill="accent3" w:themeFillTint="33"/>
            <w:vAlign w:val="center"/>
          </w:tcPr>
          <w:p>
            <w:pPr>
              <w:ind w:left="-108" w:right="-108"/>
              <w:jc w:val="center"/>
              <w:rPr>
                <w:rFonts w:ascii="Arial" w:hAnsi="Arial" w:cs="Arial"/>
                <w:b/>
              </w:rPr>
            </w:pPr>
            <w:r>
              <w:rPr>
                <w:rFonts w:ascii="Arial" w:hAnsi="Arial" w:cs="Arial"/>
                <w:b/>
              </w:rPr>
              <w:t>343,80</w:t>
            </w:r>
          </w:p>
        </w:tc>
        <w:tc>
          <w:tcPr>
            <w:tcW w:w="652" w:type="pct"/>
            <w:shd w:val="clear" w:color="auto" w:fill="EAF1DD" w:themeFill="accent3" w:themeFillTint="33"/>
            <w:vAlign w:val="center"/>
          </w:tcPr>
          <w:p>
            <w:pPr>
              <w:ind w:left="-108" w:right="-108"/>
              <w:jc w:val="center"/>
              <w:rPr>
                <w:rFonts w:ascii="Arial" w:hAnsi="Arial" w:cs="Arial"/>
                <w:b/>
              </w:rPr>
            </w:pPr>
            <w:r>
              <w:rPr>
                <w:rFonts w:ascii="Arial" w:hAnsi="Arial" w:cs="Arial"/>
                <w:b/>
              </w:rPr>
              <w:t>423,75</w:t>
            </w:r>
          </w:p>
        </w:tc>
        <w:tc>
          <w:tcPr>
            <w:tcW w:w="652" w:type="pct"/>
            <w:shd w:val="clear" w:color="auto" w:fill="EAF1DD" w:themeFill="accent3" w:themeFillTint="33"/>
            <w:vAlign w:val="center"/>
          </w:tcPr>
          <w:p>
            <w:pPr>
              <w:ind w:left="-108" w:right="-108"/>
              <w:jc w:val="center"/>
              <w:rPr>
                <w:rFonts w:ascii="Arial" w:hAnsi="Arial" w:cs="Arial"/>
                <w:b/>
              </w:rPr>
            </w:pPr>
            <w:r>
              <w:rPr>
                <w:rFonts w:ascii="Arial" w:hAnsi="Arial" w:cs="Arial"/>
                <w:b/>
              </w:rPr>
              <w:t>528,30</w:t>
            </w:r>
          </w:p>
        </w:tc>
        <w:tc>
          <w:tcPr>
            <w:tcW w:w="653" w:type="pct"/>
            <w:shd w:val="clear" w:color="auto" w:fill="EAF1DD" w:themeFill="accent3" w:themeFillTint="33"/>
            <w:vAlign w:val="center"/>
          </w:tcPr>
          <w:p>
            <w:pPr>
              <w:ind w:left="-108" w:right="-108"/>
              <w:jc w:val="center"/>
              <w:rPr>
                <w:rFonts w:ascii="Arial" w:hAnsi="Arial" w:cs="Arial"/>
                <w:b/>
              </w:rPr>
            </w:pPr>
            <w:r>
              <w:rPr>
                <w:rFonts w:ascii="Arial" w:hAnsi="Arial" w:cs="Arial"/>
                <w:b/>
              </w:rPr>
              <w:t>607,95</w:t>
            </w:r>
          </w:p>
        </w:tc>
      </w:tr>
    </w:tbl>
    <w:p>
      <w:pPr>
        <w:spacing w:before="120"/>
        <w:jc w:val="both"/>
        <w:rPr>
          <w:rFonts w:ascii="Arial" w:hAnsi="Arial" w:cs="Arial"/>
          <w:b/>
          <w:sz w:val="16"/>
          <w:szCs w:val="16"/>
        </w:rPr>
      </w:pPr>
      <w:r>
        <w:rPr>
          <w:rFonts w:ascii="Arial" w:hAnsi="Arial" w:cs="Arial"/>
          <w:b/>
          <w:sz w:val="16"/>
          <w:szCs w:val="16"/>
        </w:rPr>
        <w:t>Fortschreibung der Mietwerterhebung 2013 Landkreis Eichsfeld, 2016</w:t>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Die Bruttokaltmieten dieser Richtlinie verstehen sich als Nichtprüfungsgrenze. D.h. bei ihrer Wahrung gilt die Miete ohne weitere Prüfung als angemessen. Bei Nichtwahrung der Nichtprüfungsgrenze ist die Verfügbarkeit von angemessenem Wohnraum Gegenstand der Einzelfallprüfung.</w:t>
      </w:r>
    </w:p>
    <w:p>
      <w:pPr>
        <w:pStyle w:val="Listenabsatz"/>
        <w:numPr>
          <w:ilvl w:val="0"/>
          <w:numId w:val="15"/>
        </w:numPr>
        <w:spacing w:line="360" w:lineRule="auto"/>
        <w:jc w:val="both"/>
        <w:rPr>
          <w:rFonts w:ascii="Arial" w:hAnsi="Arial" w:cs="Arial"/>
          <w:b/>
        </w:rPr>
      </w:pPr>
      <w:r>
        <w:rPr>
          <w:rFonts w:ascii="Arial" w:hAnsi="Arial" w:cs="Arial"/>
          <w:b/>
        </w:rPr>
        <w:t>Erhöhung der Richtwerte im Einzelfall</w:t>
      </w:r>
    </w:p>
    <w:p>
      <w:pPr>
        <w:spacing w:line="360" w:lineRule="auto"/>
        <w:jc w:val="both"/>
        <w:rPr>
          <w:rFonts w:ascii="Arial" w:hAnsi="Arial" w:cs="Arial"/>
        </w:rPr>
      </w:pPr>
      <w:r>
        <w:rPr>
          <w:rFonts w:ascii="Arial" w:hAnsi="Arial" w:cs="Arial"/>
        </w:rPr>
        <w:t>Wenn aufgrund besonderer Umstände in der Person eines Anspruchsberechtigten ein besonderer Bedarf in Bezug auf den konkreten Wohnraum besteht, der außerhalb der abstrakten Angemessenheitsgrenzen liegt, erfolgt die konkrete Angemessenheitsprüfung unter Berücksichtigung dieser individuellen Bedarfslage. Die Bruttokaltmiete kann ausnahmsweise um insgesamt bis zu 10 % erhöht werden. Dies trifft insbesondere auf folgende Lebenssituationen zu:</w:t>
      </w:r>
    </w:p>
    <w:p>
      <w:pPr>
        <w:pStyle w:val="Textkrper-Zeileneinzug"/>
        <w:spacing w:line="360" w:lineRule="auto"/>
        <w:ind w:left="708"/>
        <w:jc w:val="both"/>
        <w:rPr>
          <w:rFonts w:ascii="Arial" w:hAnsi="Arial" w:cs="Arial"/>
          <w:szCs w:val="22"/>
        </w:rPr>
      </w:pPr>
    </w:p>
    <w:p>
      <w:pPr>
        <w:pStyle w:val="Textkrper-Zeileneinzug"/>
        <w:spacing w:line="360" w:lineRule="auto"/>
        <w:ind w:left="708"/>
        <w:jc w:val="both"/>
        <w:rPr>
          <w:rFonts w:ascii="Arial" w:hAnsi="Arial" w:cs="Arial"/>
          <w:szCs w:val="22"/>
        </w:rPr>
      </w:pPr>
      <w:r>
        <w:rPr>
          <w:rFonts w:ascii="Arial" w:hAnsi="Arial" w:cs="Arial"/>
          <w:szCs w:val="22"/>
        </w:rPr>
        <w:lastRenderedPageBreak/>
        <w:t>Beispiele:</w:t>
      </w:r>
    </w:p>
    <w:p>
      <w:pPr>
        <w:pStyle w:val="Listenabsatz"/>
        <w:numPr>
          <w:ilvl w:val="0"/>
          <w:numId w:val="14"/>
        </w:numPr>
        <w:spacing w:after="0" w:line="360" w:lineRule="auto"/>
        <w:jc w:val="both"/>
        <w:rPr>
          <w:rFonts w:ascii="Arial" w:hAnsi="Arial" w:cs="Arial"/>
        </w:rPr>
      </w:pPr>
      <w:r>
        <w:rPr>
          <w:rFonts w:ascii="Arial" w:hAnsi="Arial" w:cs="Arial"/>
        </w:rPr>
        <w:t>lange Wohndauer bei älteren Menschen</w:t>
      </w:r>
    </w:p>
    <w:p>
      <w:pPr>
        <w:numPr>
          <w:ilvl w:val="0"/>
          <w:numId w:val="13"/>
        </w:numPr>
        <w:spacing w:after="0" w:line="360" w:lineRule="auto"/>
        <w:jc w:val="both"/>
        <w:rPr>
          <w:rFonts w:ascii="Arial" w:hAnsi="Arial" w:cs="Arial"/>
        </w:rPr>
      </w:pPr>
      <w:r>
        <w:rPr>
          <w:rFonts w:ascii="Arial" w:hAnsi="Arial" w:cs="Arial"/>
        </w:rPr>
        <w:t>schwere chronische Erkrankung (ärztlicher Nachweis erforderlich)</w:t>
      </w:r>
    </w:p>
    <w:p>
      <w:pPr>
        <w:numPr>
          <w:ilvl w:val="0"/>
          <w:numId w:val="13"/>
        </w:numPr>
        <w:spacing w:after="0" w:line="360" w:lineRule="auto"/>
        <w:jc w:val="both"/>
        <w:rPr>
          <w:rFonts w:ascii="Arial" w:hAnsi="Arial" w:cs="Arial"/>
        </w:rPr>
      </w:pPr>
      <w:r>
        <w:rPr>
          <w:rFonts w:ascii="Arial" w:hAnsi="Arial" w:cs="Arial"/>
        </w:rPr>
        <w:t>Erkrankungen, die die Mobilität erheblich beeinträchtigen</w:t>
      </w:r>
    </w:p>
    <w:p>
      <w:pPr>
        <w:numPr>
          <w:ilvl w:val="0"/>
          <w:numId w:val="13"/>
        </w:numPr>
        <w:spacing w:after="0" w:line="360" w:lineRule="auto"/>
        <w:jc w:val="both"/>
        <w:rPr>
          <w:rFonts w:ascii="Arial" w:hAnsi="Arial" w:cs="Arial"/>
        </w:rPr>
      </w:pPr>
      <w:r>
        <w:rPr>
          <w:rFonts w:ascii="Arial" w:hAnsi="Arial" w:cs="Arial"/>
        </w:rPr>
        <w:t>besondere Wohngemeinschaften wie ambulantes betreutes Wohnen</w:t>
      </w:r>
    </w:p>
    <w:p>
      <w:pPr>
        <w:numPr>
          <w:ilvl w:val="0"/>
          <w:numId w:val="13"/>
        </w:numPr>
        <w:spacing w:after="0" w:line="360" w:lineRule="auto"/>
        <w:jc w:val="both"/>
        <w:rPr>
          <w:rFonts w:ascii="Arial" w:hAnsi="Arial" w:cs="Arial"/>
        </w:rPr>
      </w:pPr>
      <w:r>
        <w:rPr>
          <w:rFonts w:ascii="Arial" w:hAnsi="Arial" w:cs="Arial"/>
        </w:rPr>
        <w:t>Veränderungen der familiären Situation bei Trennung oder Tod von Lebenspartnern / Geburt / Eheschließung</w:t>
      </w:r>
    </w:p>
    <w:p>
      <w:pPr>
        <w:numPr>
          <w:ilvl w:val="0"/>
          <w:numId w:val="13"/>
        </w:numPr>
        <w:spacing w:after="0" w:line="360" w:lineRule="auto"/>
        <w:jc w:val="both"/>
        <w:rPr>
          <w:rFonts w:ascii="Arial" w:hAnsi="Arial" w:cs="Arial"/>
        </w:rPr>
      </w:pPr>
      <w:r>
        <w:rPr>
          <w:rFonts w:ascii="Arial" w:hAnsi="Arial" w:cs="Arial"/>
        </w:rPr>
        <w:t>nur kurzzeitige absehbare Hilfebedürftigkeit</w:t>
      </w:r>
    </w:p>
    <w:p>
      <w:pPr>
        <w:numPr>
          <w:ilvl w:val="0"/>
          <w:numId w:val="13"/>
        </w:numPr>
        <w:spacing w:after="0" w:line="360" w:lineRule="auto"/>
        <w:jc w:val="both"/>
        <w:rPr>
          <w:rFonts w:ascii="Arial" w:hAnsi="Arial" w:cs="Arial"/>
        </w:rPr>
      </w:pPr>
      <w:r>
        <w:rPr>
          <w:rFonts w:ascii="Arial" w:hAnsi="Arial" w:cs="Arial"/>
        </w:rPr>
        <w:t>Menschen, die auf bestimmte soziale Bezüge und Kontakte in ihrem Wohnungsumfeld angewiesen sind (z.B. suchtkranke Menschen, Versorgung durch Nachbarschaftshilfe)</w:t>
      </w:r>
    </w:p>
    <w:p>
      <w:pPr>
        <w:numPr>
          <w:ilvl w:val="0"/>
          <w:numId w:val="13"/>
        </w:numPr>
        <w:spacing w:after="0" w:line="360" w:lineRule="auto"/>
        <w:jc w:val="both"/>
        <w:rPr>
          <w:rFonts w:ascii="Arial" w:hAnsi="Arial" w:cs="Arial"/>
        </w:rPr>
      </w:pPr>
      <w:r>
        <w:rPr>
          <w:rFonts w:ascii="Arial" w:hAnsi="Arial" w:cs="Arial"/>
        </w:rPr>
        <w:t>Vermeidung von Wohnungslosigkeit</w:t>
      </w:r>
    </w:p>
    <w:p>
      <w:pPr>
        <w:numPr>
          <w:ilvl w:val="0"/>
          <w:numId w:val="13"/>
        </w:numPr>
        <w:spacing w:after="0" w:line="360" w:lineRule="auto"/>
        <w:jc w:val="both"/>
        <w:rPr>
          <w:rFonts w:ascii="Arial" w:hAnsi="Arial" w:cs="Arial"/>
        </w:rPr>
      </w:pPr>
      <w:r>
        <w:rPr>
          <w:rFonts w:ascii="Arial" w:hAnsi="Arial" w:cs="Arial"/>
        </w:rPr>
        <w:t>Umstände, die die Annahme rechtfertigen, dass eine Eingliederung in Arbeit vom Erhalt des Wohnraums abhängig ist</w:t>
      </w:r>
    </w:p>
    <w:p>
      <w:pPr>
        <w:numPr>
          <w:ilvl w:val="0"/>
          <w:numId w:val="13"/>
        </w:numPr>
        <w:spacing w:after="0" w:line="360" w:lineRule="auto"/>
        <w:jc w:val="both"/>
        <w:rPr>
          <w:rFonts w:ascii="Arial" w:hAnsi="Arial" w:cs="Arial"/>
        </w:rPr>
      </w:pPr>
      <w:r>
        <w:rPr>
          <w:rFonts w:ascii="Arial" w:hAnsi="Arial" w:cs="Arial"/>
        </w:rPr>
        <w:t>Familien mit Kindern (wenn ein mit dem Umzug verbundener Schulwechsel nicht zumutbar ist)</w:t>
      </w:r>
    </w:p>
    <w:p>
      <w:pPr>
        <w:spacing w:after="0" w:line="360" w:lineRule="auto"/>
        <w:ind w:left="2136"/>
        <w:jc w:val="both"/>
        <w:rPr>
          <w:rFonts w:ascii="Arial" w:hAnsi="Arial" w:cs="Arial"/>
        </w:rPr>
      </w:pPr>
    </w:p>
    <w:p>
      <w:pPr>
        <w:pStyle w:val="Listenabsatz"/>
        <w:numPr>
          <w:ilvl w:val="0"/>
          <w:numId w:val="16"/>
        </w:numPr>
        <w:spacing w:line="360" w:lineRule="auto"/>
        <w:jc w:val="both"/>
        <w:rPr>
          <w:rFonts w:ascii="Arial" w:hAnsi="Arial" w:cs="Arial"/>
          <w:b/>
        </w:rPr>
      </w:pPr>
      <w:r>
        <w:rPr>
          <w:rFonts w:ascii="Arial" w:hAnsi="Arial" w:cs="Arial"/>
          <w:b/>
        </w:rPr>
        <w:t>Angemessenheit der Heizkosten</w:t>
      </w:r>
    </w:p>
    <w:p>
      <w:pPr>
        <w:spacing w:line="360" w:lineRule="auto"/>
        <w:jc w:val="both"/>
        <w:rPr>
          <w:rFonts w:ascii="Arial" w:hAnsi="Arial" w:cs="Arial"/>
        </w:rPr>
      </w:pPr>
      <w:r>
        <w:rPr>
          <w:rFonts w:ascii="Arial" w:hAnsi="Arial" w:cs="Arial"/>
        </w:rPr>
        <w:t>Heizkosten sind in voller Höhe zu übernehmen sofern sie angemessen sind. Unangemessenheit ist zu vermuten und zu überprüfen, wenn die Verbrauchswerte des bundesweiten Heizspiegels in der jeweils gültigen Fassung – rechte Spalte der Tabelle – überschritten werden. Näheres zur Angemessenheitsprüfung regelt die Verwaltung.</w:t>
      </w:r>
    </w:p>
    <w:p>
      <w:pPr>
        <w:pStyle w:val="Listenabsatz"/>
        <w:numPr>
          <w:ilvl w:val="0"/>
          <w:numId w:val="16"/>
        </w:numPr>
        <w:spacing w:line="360" w:lineRule="auto"/>
        <w:jc w:val="both"/>
        <w:rPr>
          <w:rFonts w:ascii="Arial" w:hAnsi="Arial" w:cs="Arial"/>
          <w:b/>
        </w:rPr>
      </w:pPr>
      <w:r>
        <w:rPr>
          <w:rFonts w:ascii="Arial" w:hAnsi="Arial" w:cs="Arial"/>
          <w:b/>
        </w:rPr>
        <w:t>Fortschreibung</w:t>
      </w:r>
    </w:p>
    <w:p>
      <w:pPr>
        <w:spacing w:line="360" w:lineRule="auto"/>
        <w:jc w:val="both"/>
        <w:rPr>
          <w:rFonts w:ascii="Arial" w:hAnsi="Arial" w:cs="Arial"/>
        </w:rPr>
      </w:pPr>
      <w:r>
        <w:rPr>
          <w:rFonts w:ascii="Arial" w:hAnsi="Arial" w:cs="Arial"/>
        </w:rPr>
        <w:t>Der Kreistag hat die Verwaltung zur Fortschreibung der Bruttokaltmieten dieser Richtlinie ermächtigt. Sofern eine Änderung in der Rechtsprechung Grundzüge der Richtlinie berühren sollte, mithin die Bruttokaltmiete und den Wohnflächenbedarf, ist eine Entscheidung des Kreistages erforderlich.</w:t>
      </w:r>
    </w:p>
    <w:p>
      <w:pPr>
        <w:pStyle w:val="Listenabsatz"/>
        <w:numPr>
          <w:ilvl w:val="0"/>
          <w:numId w:val="16"/>
        </w:numPr>
        <w:spacing w:line="360" w:lineRule="auto"/>
        <w:jc w:val="both"/>
        <w:rPr>
          <w:rFonts w:ascii="Arial" w:hAnsi="Arial" w:cs="Arial"/>
          <w:b/>
        </w:rPr>
      </w:pPr>
      <w:r>
        <w:rPr>
          <w:rFonts w:ascii="Arial" w:hAnsi="Arial" w:cs="Arial"/>
          <w:b/>
        </w:rPr>
        <w:t>Inkrafttreten</w:t>
      </w:r>
    </w:p>
    <w:p>
      <w:pPr>
        <w:spacing w:line="360" w:lineRule="auto"/>
        <w:jc w:val="both"/>
        <w:rPr>
          <w:rFonts w:ascii="Arial" w:hAnsi="Arial" w:cs="Arial"/>
        </w:rPr>
      </w:pPr>
      <w:r>
        <w:rPr>
          <w:rFonts w:ascii="Arial" w:hAnsi="Arial" w:cs="Arial"/>
        </w:rPr>
        <w:t>Diese Richtlinie tritt am 01.04.2016 in Kraft. Gleichzeitig tritt die bestehende und seit dem 01.04.2014 geltende Richtlinie außer Kraft.</w:t>
      </w:r>
    </w:p>
    <w:p>
      <w:pPr>
        <w:spacing w:line="360" w:lineRule="auto"/>
        <w:jc w:val="both"/>
        <w:rPr>
          <w:rFonts w:ascii="Arial" w:hAnsi="Arial" w:cs="Arial"/>
        </w:rPr>
      </w:pPr>
      <w:r>
        <w:rPr>
          <w:rFonts w:ascii="Arial" w:hAnsi="Arial" w:cs="Arial"/>
        </w:rPr>
        <w:t>Heilbad Heiligenstadt, den ………</w:t>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Landrat</w:t>
      </w:r>
    </w:p>
    <w:sectPr>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639701"/>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3</w:t>
        </w:r>
        <w:r>
          <w:fldChar w:fldCharType="end"/>
        </w:r>
      </w:p>
    </w:sdtContent>
  </w:sdt>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14D"/>
    <w:multiLevelType w:val="hybridMultilevel"/>
    <w:tmpl w:val="8814F67C"/>
    <w:lvl w:ilvl="0" w:tplc="290AE778">
      <w:start w:val="2"/>
      <w:numFmt w:val="bullet"/>
      <w:lvlText w:val="-"/>
      <w:lvlJc w:val="left"/>
      <w:pPr>
        <w:ind w:left="2136" w:hanging="360"/>
      </w:pPr>
      <w:rPr>
        <w:rFonts w:ascii="Calibri" w:eastAsia="Calibri" w:hAnsi="Calibri" w:cs="Times New Roman"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nsid w:val="0FE86F34"/>
    <w:multiLevelType w:val="hybridMultilevel"/>
    <w:tmpl w:val="60D0A8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9C7A73"/>
    <w:multiLevelType w:val="hybridMultilevel"/>
    <w:tmpl w:val="6A5E1C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A518D7"/>
    <w:multiLevelType w:val="hybridMultilevel"/>
    <w:tmpl w:val="C2C81B06"/>
    <w:lvl w:ilvl="0" w:tplc="2EA6EE26">
      <w:start w:val="2"/>
      <w:numFmt w:val="decimal"/>
      <w:lvlText w:val="%1."/>
      <w:lvlJc w:val="left"/>
      <w:pPr>
        <w:ind w:left="644" w:hanging="360"/>
      </w:pPr>
      <w:rPr>
        <w:rFonts w:hint="default"/>
        <w:i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nsid w:val="1ACE76AF"/>
    <w:multiLevelType w:val="hybridMultilevel"/>
    <w:tmpl w:val="34843754"/>
    <w:lvl w:ilvl="0" w:tplc="173A75AE">
      <w:start w:val="15"/>
      <w:numFmt w:val="bullet"/>
      <w:lvlText w:val="-"/>
      <w:lvlJc w:val="left"/>
      <w:pPr>
        <w:ind w:left="2136" w:hanging="360"/>
      </w:pPr>
      <w:rPr>
        <w:rFonts w:ascii="Arial" w:eastAsiaTheme="minorHAnsi" w:hAnsi="Arial" w:cs="Aria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5">
    <w:nsid w:val="2107509F"/>
    <w:multiLevelType w:val="hybridMultilevel"/>
    <w:tmpl w:val="676AC166"/>
    <w:lvl w:ilvl="0" w:tplc="290AE778">
      <w:start w:val="2"/>
      <w:numFmt w:val="bullet"/>
      <w:lvlText w:val="-"/>
      <w:lvlJc w:val="left"/>
      <w:pPr>
        <w:ind w:left="2136" w:hanging="360"/>
      </w:pPr>
      <w:rPr>
        <w:rFonts w:ascii="Calibri" w:eastAsia="Calibri" w:hAnsi="Calibri" w:cs="Times New Roman"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6">
    <w:nsid w:val="228E5DDF"/>
    <w:multiLevelType w:val="hybridMultilevel"/>
    <w:tmpl w:val="A656E356"/>
    <w:lvl w:ilvl="0" w:tplc="C1C07504">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242A252D"/>
    <w:multiLevelType w:val="hybridMultilevel"/>
    <w:tmpl w:val="A872D06C"/>
    <w:lvl w:ilvl="0" w:tplc="7A6C0F4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A440C8"/>
    <w:multiLevelType w:val="hybridMultilevel"/>
    <w:tmpl w:val="AA74B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0A26A3"/>
    <w:multiLevelType w:val="hybridMultilevel"/>
    <w:tmpl w:val="0952EF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0DB1074"/>
    <w:multiLevelType w:val="hybridMultilevel"/>
    <w:tmpl w:val="6E309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F074E5"/>
    <w:multiLevelType w:val="hybridMultilevel"/>
    <w:tmpl w:val="9DA42716"/>
    <w:lvl w:ilvl="0" w:tplc="6C42A6C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52E63D6"/>
    <w:multiLevelType w:val="hybridMultilevel"/>
    <w:tmpl w:val="5374191A"/>
    <w:lvl w:ilvl="0" w:tplc="6C42A6C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EF618DC"/>
    <w:multiLevelType w:val="hybridMultilevel"/>
    <w:tmpl w:val="172AEAD4"/>
    <w:lvl w:ilvl="0" w:tplc="4D7869C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2E514CB"/>
    <w:multiLevelType w:val="hybridMultilevel"/>
    <w:tmpl w:val="475C2296"/>
    <w:lvl w:ilvl="0" w:tplc="5F581C2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4D7309"/>
    <w:multiLevelType w:val="hybridMultilevel"/>
    <w:tmpl w:val="F9749D1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6">
    <w:nsid w:val="55904B34"/>
    <w:multiLevelType w:val="hybridMultilevel"/>
    <w:tmpl w:val="A7EEF4A0"/>
    <w:lvl w:ilvl="0" w:tplc="486A9BD4">
      <w:start w:val="1"/>
      <w:numFmt w:val="decimal"/>
      <w:lvlText w:val="%1)"/>
      <w:lvlJc w:val="left"/>
      <w:pPr>
        <w:ind w:left="644" w:hanging="360"/>
      </w:pPr>
      <w:rPr>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nsid w:val="5B743419"/>
    <w:multiLevelType w:val="hybridMultilevel"/>
    <w:tmpl w:val="9B56BA00"/>
    <w:lvl w:ilvl="0" w:tplc="11427630">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692209C7"/>
    <w:multiLevelType w:val="hybridMultilevel"/>
    <w:tmpl w:val="19BCB484"/>
    <w:lvl w:ilvl="0" w:tplc="9A460FA8">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CCF60B4"/>
    <w:multiLevelType w:val="hybridMultilevel"/>
    <w:tmpl w:val="54F00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10"/>
  </w:num>
  <w:num w:numId="5">
    <w:abstractNumId w:val="7"/>
  </w:num>
  <w:num w:numId="6">
    <w:abstractNumId w:val="12"/>
  </w:num>
  <w:num w:numId="7">
    <w:abstractNumId w:val="11"/>
  </w:num>
  <w:num w:numId="8">
    <w:abstractNumId w:val="19"/>
  </w:num>
  <w:num w:numId="9">
    <w:abstractNumId w:val="2"/>
  </w:num>
  <w:num w:numId="10">
    <w:abstractNumId w:val="15"/>
  </w:num>
  <w:num w:numId="11">
    <w:abstractNumId w:val="3"/>
  </w:num>
  <w:num w:numId="12">
    <w:abstractNumId w:val="4"/>
  </w:num>
  <w:num w:numId="13">
    <w:abstractNumId w:val="0"/>
  </w:num>
  <w:num w:numId="14">
    <w:abstractNumId w:val="5"/>
  </w:num>
  <w:num w:numId="15">
    <w:abstractNumId w:val="17"/>
  </w:num>
  <w:num w:numId="16">
    <w:abstractNumId w:val="13"/>
  </w:num>
  <w:num w:numId="17">
    <w:abstractNumId w:val="14"/>
  </w:num>
  <w:num w:numId="18">
    <w:abstractNumId w:val="6"/>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Textkrper-Zeileneinzug">
    <w:name w:val="Body Text Indent"/>
    <w:basedOn w:val="Standard"/>
    <w:link w:val="Textkrper-ZeileneinzugZchn"/>
    <w:uiPriority w:val="99"/>
    <w:unhideWhenUsed/>
    <w:pPr>
      <w:spacing w:after="120" w:line="240" w:lineRule="auto"/>
      <w:ind w:left="283"/>
    </w:pPr>
    <w:rPr>
      <w:rFonts w:ascii="Tahoma" w:eastAsia="Times New Roman" w:hAnsi="Tahoma" w:cs="Times New Roman"/>
      <w:szCs w:val="24"/>
      <w:lang w:eastAsia="de-DE"/>
    </w:rPr>
  </w:style>
  <w:style w:type="character" w:customStyle="1" w:styleId="Textkrper-ZeileneinzugZchn">
    <w:name w:val="Textkörper-Zeileneinzug Zchn"/>
    <w:basedOn w:val="Absatz-Standardschriftart"/>
    <w:link w:val="Textkrper-Zeileneinzug"/>
    <w:uiPriority w:val="99"/>
    <w:rPr>
      <w:rFonts w:ascii="Tahoma" w:eastAsia="Times New Roman" w:hAnsi="Tahoma" w:cs="Times New Roman"/>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Textkrper-Zeileneinzug">
    <w:name w:val="Body Text Indent"/>
    <w:basedOn w:val="Standard"/>
    <w:link w:val="Textkrper-ZeileneinzugZchn"/>
    <w:uiPriority w:val="99"/>
    <w:unhideWhenUsed/>
    <w:pPr>
      <w:spacing w:after="120" w:line="240" w:lineRule="auto"/>
      <w:ind w:left="283"/>
    </w:pPr>
    <w:rPr>
      <w:rFonts w:ascii="Tahoma" w:eastAsia="Times New Roman" w:hAnsi="Tahoma" w:cs="Times New Roman"/>
      <w:szCs w:val="24"/>
      <w:lang w:eastAsia="de-DE"/>
    </w:rPr>
  </w:style>
  <w:style w:type="character" w:customStyle="1" w:styleId="Textkrper-ZeileneinzugZchn">
    <w:name w:val="Textkörper-Zeileneinzug Zchn"/>
    <w:basedOn w:val="Absatz-Standardschriftart"/>
    <w:link w:val="Textkrper-Zeileneinzug"/>
    <w:uiPriority w:val="99"/>
    <w:rPr>
      <w:rFonts w:ascii="Tahoma" w:eastAsia="Times New Roman" w:hAnsi="Tahoma" w:cs="Times New Roman"/>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48475">
      <w:bodyDiv w:val="1"/>
      <w:marLeft w:val="0"/>
      <w:marRight w:val="0"/>
      <w:marTop w:val="0"/>
      <w:marBottom w:val="0"/>
      <w:divBdr>
        <w:top w:val="none" w:sz="0" w:space="0" w:color="auto"/>
        <w:left w:val="none" w:sz="0" w:space="0" w:color="auto"/>
        <w:bottom w:val="none" w:sz="0" w:space="0" w:color="auto"/>
        <w:right w:val="none" w:sz="0" w:space="0" w:color="auto"/>
      </w:divBdr>
      <w:divsChild>
        <w:div w:id="1279139100">
          <w:marLeft w:val="90"/>
          <w:marRight w:val="0"/>
          <w:marTop w:val="15"/>
          <w:marBottom w:val="0"/>
          <w:divBdr>
            <w:top w:val="none" w:sz="0" w:space="0" w:color="auto"/>
            <w:left w:val="none" w:sz="0" w:space="0" w:color="auto"/>
            <w:bottom w:val="none" w:sz="0" w:space="0" w:color="auto"/>
            <w:right w:val="none" w:sz="0" w:space="0" w:color="auto"/>
          </w:divBdr>
          <w:divsChild>
            <w:div w:id="356663169">
              <w:marLeft w:val="0"/>
              <w:marRight w:val="0"/>
              <w:marTop w:val="0"/>
              <w:marBottom w:val="0"/>
              <w:divBdr>
                <w:top w:val="none" w:sz="0" w:space="0" w:color="auto"/>
                <w:left w:val="none" w:sz="0" w:space="0" w:color="auto"/>
                <w:bottom w:val="none" w:sz="0" w:space="0" w:color="auto"/>
                <w:right w:val="none" w:sz="0" w:space="0" w:color="auto"/>
              </w:divBdr>
              <w:divsChild>
                <w:div w:id="615530397">
                  <w:marLeft w:val="0"/>
                  <w:marRight w:val="0"/>
                  <w:marTop w:val="0"/>
                  <w:marBottom w:val="0"/>
                  <w:divBdr>
                    <w:top w:val="none" w:sz="0" w:space="0" w:color="auto"/>
                    <w:left w:val="none" w:sz="0" w:space="0" w:color="auto"/>
                    <w:bottom w:val="none" w:sz="0" w:space="0" w:color="auto"/>
                    <w:right w:val="none" w:sz="0" w:space="0" w:color="auto"/>
                  </w:divBdr>
                  <w:divsChild>
                    <w:div w:id="1356614152">
                      <w:marLeft w:val="0"/>
                      <w:marRight w:val="0"/>
                      <w:marTop w:val="0"/>
                      <w:marBottom w:val="0"/>
                      <w:divBdr>
                        <w:top w:val="none" w:sz="0" w:space="0" w:color="auto"/>
                        <w:left w:val="none" w:sz="0" w:space="0" w:color="auto"/>
                        <w:bottom w:val="none" w:sz="0" w:space="0" w:color="auto"/>
                        <w:right w:val="none" w:sz="0" w:space="0" w:color="auto"/>
                      </w:divBdr>
                      <w:divsChild>
                        <w:div w:id="1412236097">
                          <w:marLeft w:val="0"/>
                          <w:marRight w:val="0"/>
                          <w:marTop w:val="120"/>
                          <w:marBottom w:val="0"/>
                          <w:divBdr>
                            <w:top w:val="none" w:sz="0" w:space="0" w:color="auto"/>
                            <w:left w:val="none" w:sz="0" w:space="0" w:color="auto"/>
                            <w:bottom w:val="none" w:sz="0" w:space="0" w:color="auto"/>
                            <w:right w:val="none" w:sz="0" w:space="0" w:color="auto"/>
                          </w:divBdr>
                        </w:div>
                        <w:div w:id="16929937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AE2C-5266-4859-9DAE-9F011726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7809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Tanja Tribian</cp:lastModifiedBy>
  <cp:revision>3</cp:revision>
  <cp:lastPrinted>2014-04-02T06:43:00Z</cp:lastPrinted>
  <dcterms:created xsi:type="dcterms:W3CDTF">2016-03-29T09:03:00Z</dcterms:created>
  <dcterms:modified xsi:type="dcterms:W3CDTF">2016-03-29T12:06:00Z</dcterms:modified>
</cp:coreProperties>
</file>