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706"/>
        <w:gridCol w:w="1985"/>
        <w:gridCol w:w="680"/>
        <w:gridCol w:w="2764"/>
      </w:tblGrid>
      <w:tr w:rsidR="00B31D5A">
        <w:trPr>
          <w:trHeight w:hRule="exact" w:val="1600"/>
        </w:trPr>
        <w:tc>
          <w:tcPr>
            <w:tcW w:w="6691" w:type="dxa"/>
            <w:gridSpan w:val="2"/>
          </w:tcPr>
          <w:p w:rsidR="00B31D5A" w:rsidRDefault="00B31D5A">
            <w:pPr>
              <w:spacing w:line="320" w:lineRule="exact"/>
              <w:rPr>
                <w:b/>
                <w:color w:val="000000"/>
                <w:sz w:val="24"/>
              </w:rPr>
            </w:pPr>
            <w:r>
              <w:rPr>
                <w:b/>
                <w:color w:val="000000"/>
                <w:sz w:val="24"/>
              </w:rPr>
              <w:t>Der Senator für Inneres und Sport</w:t>
            </w:r>
            <w:r>
              <w:rPr>
                <w:b/>
                <w:color w:val="000000"/>
                <w:sz w:val="24"/>
              </w:rPr>
              <w:br/>
            </w:r>
          </w:p>
          <w:p w:rsidR="00B31D5A" w:rsidRDefault="00B31D5A">
            <w:pPr>
              <w:spacing w:line="320" w:lineRule="exact"/>
            </w:pPr>
            <w:r>
              <w:rPr>
                <w:b/>
                <w:color w:val="000000"/>
                <w:sz w:val="24"/>
              </w:rPr>
              <w:t xml:space="preserve"> </w:t>
            </w:r>
          </w:p>
        </w:tc>
        <w:tc>
          <w:tcPr>
            <w:tcW w:w="680" w:type="dxa"/>
          </w:tcPr>
          <w:p w:rsidR="00B31D5A" w:rsidRDefault="00B31D5A">
            <w:pPr>
              <w:spacing w:line="320" w:lineRule="exact"/>
            </w:pPr>
          </w:p>
        </w:tc>
        <w:tc>
          <w:tcPr>
            <w:tcW w:w="2764" w:type="dxa"/>
          </w:tcPr>
          <w:p w:rsidR="00B31D5A" w:rsidRDefault="00B31D5A">
            <w:pPr>
              <w:spacing w:line="320" w:lineRule="exact"/>
            </w:pPr>
            <w:r>
              <w:rPr>
                <w:b/>
                <w:sz w:val="28"/>
              </w:rPr>
              <w:t>Freie</w:t>
            </w:r>
            <w:r>
              <w:rPr>
                <w:b/>
                <w:sz w:val="28"/>
              </w:rPr>
              <w:br/>
              <w:t>Hansestadt</w:t>
            </w:r>
            <w:r>
              <w:rPr>
                <w:b/>
                <w:sz w:val="28"/>
              </w:rPr>
              <w:br/>
              <w:t>Bremen</w:t>
            </w:r>
          </w:p>
        </w:tc>
      </w:tr>
      <w:tr w:rsidR="00B31D5A">
        <w:trPr>
          <w:cantSplit/>
          <w:trHeight w:hRule="exact" w:val="3600"/>
        </w:trPr>
        <w:tc>
          <w:tcPr>
            <w:tcW w:w="4706" w:type="dxa"/>
          </w:tcPr>
          <w:p w:rsidR="00B31D5A" w:rsidRDefault="00B31D5A">
            <w:pPr>
              <w:spacing w:after="120"/>
              <w:rPr>
                <w:sz w:val="15"/>
              </w:rPr>
            </w:pPr>
            <w:r>
              <w:rPr>
                <w:sz w:val="15"/>
              </w:rPr>
              <w:t>Der Senator für Inneres und Sport</w:t>
            </w:r>
            <w:r>
              <w:rPr>
                <w:sz w:val="15"/>
              </w:rPr>
              <w:br/>
            </w:r>
            <w:proofErr w:type="spellStart"/>
            <w:r>
              <w:rPr>
                <w:sz w:val="15"/>
              </w:rPr>
              <w:t>Contrescarpe</w:t>
            </w:r>
            <w:proofErr w:type="spellEnd"/>
            <w:r>
              <w:rPr>
                <w:sz w:val="15"/>
              </w:rPr>
              <w:t xml:space="preserve"> 22/24, 28203 Bremen</w:t>
            </w:r>
          </w:p>
          <w:p w:rsidR="00B31D5A" w:rsidRPr="00B600F7" w:rsidRDefault="00B600F7">
            <w:pPr>
              <w:rPr>
                <w:sz w:val="24"/>
                <w:szCs w:val="24"/>
              </w:rPr>
            </w:pPr>
            <w:bookmarkStart w:id="0" w:name="Anschrift"/>
            <w:bookmarkStart w:id="1" w:name="_GoBack"/>
            <w:bookmarkEnd w:id="0"/>
            <w:bookmarkEnd w:id="1"/>
            <w:r w:rsidRPr="00B600F7">
              <w:rPr>
                <w:sz w:val="24"/>
                <w:szCs w:val="24"/>
              </w:rPr>
              <w:t>Stadtamt Bremen</w:t>
            </w:r>
          </w:p>
          <w:p w:rsidR="00B600F7" w:rsidRPr="00B600F7" w:rsidRDefault="00B600F7">
            <w:pPr>
              <w:rPr>
                <w:sz w:val="24"/>
                <w:szCs w:val="24"/>
              </w:rPr>
            </w:pPr>
            <w:r w:rsidRPr="00B600F7">
              <w:rPr>
                <w:sz w:val="24"/>
                <w:szCs w:val="24"/>
              </w:rPr>
              <w:t>Staatsangehörigkeitsbehörde</w:t>
            </w:r>
          </w:p>
          <w:p w:rsidR="00B600F7" w:rsidRPr="00B600F7" w:rsidRDefault="00B600F7">
            <w:pPr>
              <w:rPr>
                <w:sz w:val="24"/>
                <w:szCs w:val="24"/>
              </w:rPr>
            </w:pPr>
            <w:r w:rsidRPr="00B600F7">
              <w:rPr>
                <w:sz w:val="24"/>
                <w:szCs w:val="24"/>
              </w:rPr>
              <w:t>Stresemannstr. 48</w:t>
            </w:r>
          </w:p>
          <w:p w:rsidR="00B600F7" w:rsidRPr="00B600F7" w:rsidRDefault="00B600F7">
            <w:pPr>
              <w:rPr>
                <w:sz w:val="24"/>
                <w:szCs w:val="24"/>
              </w:rPr>
            </w:pPr>
            <w:r w:rsidRPr="00B600F7">
              <w:rPr>
                <w:sz w:val="24"/>
                <w:szCs w:val="24"/>
              </w:rPr>
              <w:t>28207 Bremen</w:t>
            </w:r>
          </w:p>
          <w:p w:rsidR="00B600F7" w:rsidRPr="00B600F7" w:rsidRDefault="00B600F7">
            <w:pPr>
              <w:rPr>
                <w:sz w:val="24"/>
                <w:szCs w:val="24"/>
              </w:rPr>
            </w:pPr>
          </w:p>
          <w:p w:rsidR="00B600F7" w:rsidRPr="00B600F7" w:rsidRDefault="00B600F7">
            <w:pPr>
              <w:rPr>
                <w:sz w:val="24"/>
                <w:szCs w:val="24"/>
              </w:rPr>
            </w:pPr>
            <w:r w:rsidRPr="00B600F7">
              <w:rPr>
                <w:sz w:val="24"/>
                <w:szCs w:val="24"/>
              </w:rPr>
              <w:t>Stadt Bremerhaven</w:t>
            </w:r>
          </w:p>
          <w:p w:rsidR="00B600F7" w:rsidRPr="00B600F7" w:rsidRDefault="00B600F7">
            <w:pPr>
              <w:rPr>
                <w:sz w:val="24"/>
                <w:szCs w:val="24"/>
              </w:rPr>
            </w:pPr>
            <w:r w:rsidRPr="00B600F7">
              <w:rPr>
                <w:sz w:val="24"/>
                <w:szCs w:val="24"/>
              </w:rPr>
              <w:t>Bürger- und Ordnungsamt</w:t>
            </w:r>
          </w:p>
          <w:p w:rsidR="00B600F7" w:rsidRPr="00B600F7" w:rsidRDefault="00B600F7">
            <w:pPr>
              <w:rPr>
                <w:sz w:val="24"/>
                <w:szCs w:val="24"/>
              </w:rPr>
            </w:pPr>
            <w:r w:rsidRPr="00B600F7">
              <w:rPr>
                <w:sz w:val="24"/>
                <w:szCs w:val="24"/>
              </w:rPr>
              <w:t>Hinrich-</w:t>
            </w:r>
            <w:proofErr w:type="spellStart"/>
            <w:r w:rsidRPr="00B600F7">
              <w:rPr>
                <w:sz w:val="24"/>
                <w:szCs w:val="24"/>
              </w:rPr>
              <w:t>Schmalfeldt</w:t>
            </w:r>
            <w:proofErr w:type="spellEnd"/>
            <w:r w:rsidRPr="00B600F7">
              <w:rPr>
                <w:sz w:val="24"/>
                <w:szCs w:val="24"/>
              </w:rPr>
              <w:t>-Straße</w:t>
            </w:r>
          </w:p>
          <w:p w:rsidR="00B600F7" w:rsidRDefault="00B600F7" w:rsidP="00B600F7">
            <w:r w:rsidRPr="00B600F7">
              <w:rPr>
                <w:sz w:val="24"/>
                <w:szCs w:val="24"/>
              </w:rPr>
              <w:t>27576 Bremerhaven</w:t>
            </w:r>
          </w:p>
        </w:tc>
        <w:tc>
          <w:tcPr>
            <w:tcW w:w="2665" w:type="dxa"/>
            <w:gridSpan w:val="2"/>
            <w:tcBorders>
              <w:left w:val="nil"/>
            </w:tcBorders>
          </w:tcPr>
          <w:p w:rsidR="00B31D5A" w:rsidRDefault="00B31D5A">
            <w:pPr>
              <w:pStyle w:val="Fuzeile"/>
              <w:tabs>
                <w:tab w:val="clear" w:pos="4819"/>
                <w:tab w:val="clear" w:pos="9071"/>
              </w:tabs>
              <w:rPr>
                <w:rFonts w:ascii="Arial" w:hAnsi="Arial"/>
              </w:rPr>
            </w:pPr>
          </w:p>
        </w:tc>
        <w:tc>
          <w:tcPr>
            <w:tcW w:w="2764" w:type="dxa"/>
          </w:tcPr>
          <w:p w:rsidR="00B31D5A" w:rsidRDefault="00B31D5A">
            <w:pPr>
              <w:rPr>
                <w:sz w:val="16"/>
              </w:rPr>
            </w:pPr>
            <w:r>
              <w:rPr>
                <w:sz w:val="16"/>
              </w:rPr>
              <w:t>Auskunft erteilt Herr Döhle</w:t>
            </w:r>
          </w:p>
          <w:p w:rsidR="00B31D5A" w:rsidRDefault="00B31D5A">
            <w:pPr>
              <w:rPr>
                <w:sz w:val="16"/>
              </w:rPr>
            </w:pPr>
            <w:r>
              <w:rPr>
                <w:sz w:val="16"/>
              </w:rPr>
              <w:t>Zimmer 323</w:t>
            </w:r>
          </w:p>
          <w:p w:rsidR="00B31D5A" w:rsidRDefault="00B31D5A">
            <w:pPr>
              <w:rPr>
                <w:sz w:val="16"/>
              </w:rPr>
            </w:pPr>
          </w:p>
          <w:p w:rsidR="00B31D5A" w:rsidRDefault="00B31D5A">
            <w:pPr>
              <w:rPr>
                <w:sz w:val="16"/>
              </w:rPr>
            </w:pPr>
            <w:r>
              <w:rPr>
                <w:sz w:val="16"/>
              </w:rPr>
              <w:t>Tel.: 0421/361-9056</w:t>
            </w:r>
          </w:p>
          <w:p w:rsidR="00B31D5A" w:rsidRDefault="00B31D5A">
            <w:pPr>
              <w:rPr>
                <w:sz w:val="16"/>
              </w:rPr>
            </w:pPr>
            <w:r>
              <w:rPr>
                <w:sz w:val="16"/>
              </w:rPr>
              <w:t>Fax: 0421/496-9056</w:t>
            </w:r>
          </w:p>
          <w:p w:rsidR="00B31D5A" w:rsidRDefault="00B31D5A">
            <w:pPr>
              <w:rPr>
                <w:sz w:val="16"/>
              </w:rPr>
            </w:pPr>
          </w:p>
          <w:p w:rsidR="00B31D5A" w:rsidRDefault="00B31D5A">
            <w:pPr>
              <w:rPr>
                <w:sz w:val="16"/>
                <w:lang w:val="it-IT"/>
              </w:rPr>
            </w:pPr>
            <w:r>
              <w:rPr>
                <w:sz w:val="16"/>
                <w:lang w:val="it-IT"/>
              </w:rPr>
              <w:t xml:space="preserve">E-mail: </w:t>
            </w:r>
            <w:r>
              <w:rPr>
                <w:sz w:val="16"/>
                <w:lang w:val="it-IT"/>
              </w:rPr>
              <w:br/>
              <w:t>HDOEHLE@</w:t>
            </w:r>
            <w:bookmarkStart w:id="2" w:name="_Hlt503848434"/>
            <w:r>
              <w:rPr>
                <w:sz w:val="16"/>
                <w:lang w:val="it-IT"/>
              </w:rPr>
              <w:t>I</w:t>
            </w:r>
            <w:bookmarkEnd w:id="2"/>
            <w:r>
              <w:rPr>
                <w:sz w:val="16"/>
                <w:lang w:val="it-IT"/>
              </w:rPr>
              <w:t>nneres.Bremen.de</w:t>
            </w:r>
          </w:p>
          <w:p w:rsidR="00B31D5A" w:rsidRDefault="00B31D5A">
            <w:pPr>
              <w:rPr>
                <w:sz w:val="16"/>
                <w:lang w:val="it-IT"/>
              </w:rPr>
            </w:pPr>
            <w:bookmarkStart w:id="3" w:name="IhrZeichen"/>
            <w:bookmarkEnd w:id="3"/>
          </w:p>
          <w:p w:rsidR="00B31D5A" w:rsidRDefault="00B31D5A">
            <w:pPr>
              <w:rPr>
                <w:sz w:val="16"/>
              </w:rPr>
            </w:pPr>
            <w:r>
              <w:rPr>
                <w:sz w:val="16"/>
              </w:rPr>
              <w:t>Datum und Zeichen</w:t>
            </w:r>
          </w:p>
          <w:p w:rsidR="00B31D5A" w:rsidRDefault="00B31D5A">
            <w:pPr>
              <w:rPr>
                <w:sz w:val="16"/>
              </w:rPr>
            </w:pPr>
            <w:r>
              <w:rPr>
                <w:sz w:val="16"/>
              </w:rPr>
              <w:t>Ihres Schreibens</w:t>
            </w:r>
          </w:p>
          <w:p w:rsidR="00B31D5A" w:rsidRDefault="00B31D5A">
            <w:pPr>
              <w:rPr>
                <w:sz w:val="16"/>
              </w:rPr>
            </w:pPr>
          </w:p>
          <w:p w:rsidR="00B31D5A" w:rsidRDefault="00B31D5A">
            <w:pPr>
              <w:rPr>
                <w:sz w:val="16"/>
              </w:rPr>
            </w:pPr>
          </w:p>
          <w:p w:rsidR="00B31D5A" w:rsidRDefault="00B31D5A">
            <w:pPr>
              <w:rPr>
                <w:sz w:val="16"/>
              </w:rPr>
            </w:pPr>
            <w:r>
              <w:rPr>
                <w:sz w:val="16"/>
              </w:rPr>
              <w:t>Mein Zeichen</w:t>
            </w:r>
          </w:p>
          <w:p w:rsidR="00B31D5A" w:rsidRDefault="00B31D5A">
            <w:pPr>
              <w:rPr>
                <w:sz w:val="16"/>
              </w:rPr>
            </w:pPr>
            <w:r>
              <w:rPr>
                <w:sz w:val="16"/>
              </w:rPr>
              <w:t>(bitte bei Antworten angeben)</w:t>
            </w:r>
          </w:p>
          <w:p w:rsidR="00B31D5A" w:rsidRDefault="00B31D5A">
            <w:pPr>
              <w:rPr>
                <w:sz w:val="16"/>
              </w:rPr>
            </w:pPr>
            <w:r>
              <w:rPr>
                <w:sz w:val="16"/>
              </w:rPr>
              <w:t>21-</w:t>
            </w:r>
            <w:r w:rsidR="00B600F7">
              <w:rPr>
                <w:sz w:val="16"/>
              </w:rPr>
              <w:t>3 (110-30-02/3)</w:t>
            </w:r>
          </w:p>
          <w:p w:rsidR="00B31D5A" w:rsidRDefault="00B31D5A">
            <w:pPr>
              <w:rPr>
                <w:sz w:val="16"/>
              </w:rPr>
            </w:pPr>
          </w:p>
          <w:p w:rsidR="00B31D5A" w:rsidRDefault="00B31D5A">
            <w:pPr>
              <w:rPr>
                <w:sz w:val="16"/>
              </w:rPr>
            </w:pPr>
            <w:r>
              <w:rPr>
                <w:sz w:val="16"/>
              </w:rPr>
              <w:t xml:space="preserve">Bremen, </w:t>
            </w:r>
            <w:bookmarkStart w:id="4" w:name="Datum"/>
            <w:bookmarkEnd w:id="4"/>
            <w:r>
              <w:rPr>
                <w:sz w:val="16"/>
              </w:rPr>
              <w:t xml:space="preserve"> </w:t>
            </w:r>
            <w:r w:rsidR="00D17B5F">
              <w:rPr>
                <w:sz w:val="16"/>
              </w:rPr>
              <w:t>1</w:t>
            </w:r>
            <w:r w:rsidR="00B116DA">
              <w:rPr>
                <w:sz w:val="16"/>
              </w:rPr>
              <w:t>9</w:t>
            </w:r>
            <w:r>
              <w:rPr>
                <w:sz w:val="16"/>
              </w:rPr>
              <w:t xml:space="preserve">. </w:t>
            </w:r>
            <w:r w:rsidR="00D17B5F">
              <w:rPr>
                <w:sz w:val="16"/>
              </w:rPr>
              <w:t>Januar</w:t>
            </w:r>
            <w:r>
              <w:rPr>
                <w:sz w:val="16"/>
              </w:rPr>
              <w:t xml:space="preserve"> 20</w:t>
            </w:r>
            <w:r w:rsidR="00B600F7">
              <w:rPr>
                <w:sz w:val="16"/>
              </w:rPr>
              <w:t>1</w:t>
            </w:r>
            <w:r w:rsidR="00D17B5F">
              <w:rPr>
                <w:sz w:val="16"/>
              </w:rPr>
              <w:t>5</w:t>
            </w:r>
          </w:p>
          <w:p w:rsidR="00B31D5A" w:rsidRDefault="00B31D5A">
            <w:pPr>
              <w:rPr>
                <w:sz w:val="16"/>
              </w:rPr>
            </w:pPr>
            <w:r>
              <w:rPr>
                <w:sz w:val="16"/>
              </w:rPr>
              <w:fldChar w:fldCharType="begin"/>
            </w:r>
            <w:r>
              <w:rPr>
                <w:sz w:val="16"/>
              </w:rPr>
              <w:instrText xml:space="preserve">  </w:instrText>
            </w:r>
            <w:r>
              <w:rPr>
                <w:sz w:val="16"/>
              </w:rPr>
              <w:fldChar w:fldCharType="end"/>
            </w:r>
          </w:p>
        </w:tc>
      </w:tr>
    </w:tbl>
    <w:p w:rsidR="00B31D5A" w:rsidRDefault="00B31D5A">
      <w:pPr>
        <w:pStyle w:val="berschrift3"/>
      </w:pPr>
    </w:p>
    <w:p w:rsidR="00B600F7" w:rsidRDefault="00B600F7" w:rsidP="00B600F7"/>
    <w:p w:rsidR="00B600F7" w:rsidRPr="00B600F7" w:rsidRDefault="00D17B5F" w:rsidP="00B600F7">
      <w:pPr>
        <w:spacing w:line="320" w:lineRule="atLeast"/>
        <w:rPr>
          <w:b/>
          <w:sz w:val="24"/>
          <w:szCs w:val="24"/>
        </w:rPr>
      </w:pPr>
      <w:r>
        <w:rPr>
          <w:b/>
          <w:sz w:val="24"/>
          <w:szCs w:val="24"/>
        </w:rPr>
        <w:t xml:space="preserve">Umsetzung des Optionsverfahrens nach dem 2. </w:t>
      </w:r>
      <w:proofErr w:type="spellStart"/>
      <w:r>
        <w:rPr>
          <w:b/>
          <w:sz w:val="24"/>
          <w:szCs w:val="24"/>
        </w:rPr>
        <w:t>StAÄn</w:t>
      </w:r>
      <w:r w:rsidR="00DE28AA">
        <w:rPr>
          <w:b/>
          <w:sz w:val="24"/>
          <w:szCs w:val="24"/>
        </w:rPr>
        <w:t>d</w:t>
      </w:r>
      <w:r>
        <w:rPr>
          <w:b/>
          <w:sz w:val="24"/>
          <w:szCs w:val="24"/>
        </w:rPr>
        <w:t>G</w:t>
      </w:r>
      <w:proofErr w:type="spellEnd"/>
    </w:p>
    <w:p w:rsidR="00B600F7" w:rsidRDefault="00B600F7" w:rsidP="00B600F7">
      <w:pPr>
        <w:spacing w:line="320" w:lineRule="atLeast"/>
        <w:rPr>
          <w:sz w:val="24"/>
          <w:szCs w:val="24"/>
        </w:rPr>
      </w:pPr>
    </w:p>
    <w:p w:rsidR="00D17B5F" w:rsidRDefault="00D17B5F" w:rsidP="00B600F7">
      <w:pPr>
        <w:spacing w:line="320" w:lineRule="atLeast"/>
        <w:rPr>
          <w:sz w:val="24"/>
          <w:szCs w:val="24"/>
        </w:rPr>
      </w:pPr>
      <w:r>
        <w:rPr>
          <w:sz w:val="24"/>
          <w:szCs w:val="24"/>
        </w:rPr>
        <w:t>1.</w:t>
      </w:r>
    </w:p>
    <w:p w:rsidR="00D17B5F" w:rsidRDefault="00D17B5F" w:rsidP="00D17B5F">
      <w:pPr>
        <w:spacing w:line="320" w:lineRule="atLeast"/>
        <w:rPr>
          <w:sz w:val="24"/>
          <w:szCs w:val="24"/>
        </w:rPr>
      </w:pPr>
      <w:r w:rsidRPr="00D17B5F">
        <w:rPr>
          <w:sz w:val="24"/>
          <w:szCs w:val="24"/>
        </w:rPr>
        <w:t>Das Zweite Gesetz zur Änderung des Staatsangehörigkeitsgesetzes vom 13. November 2014 (BGBl. I S. 1714) ist am 20. Dezember 2014 in Kraft getreten. Mit der Vorschrift ist das Optionsverfahren nach § 29 StAG neu geregelt worden. Nach der nunmehr geltenden Vo</w:t>
      </w:r>
      <w:r w:rsidRPr="00D17B5F">
        <w:rPr>
          <w:sz w:val="24"/>
          <w:szCs w:val="24"/>
        </w:rPr>
        <w:t>r</w:t>
      </w:r>
      <w:r w:rsidRPr="00D17B5F">
        <w:rPr>
          <w:sz w:val="24"/>
          <w:szCs w:val="24"/>
        </w:rPr>
        <w:t>schrift wird nur noch eine geringe Anzahl von Personen, die die deutsche Staatsangehöri</w:t>
      </w:r>
      <w:r w:rsidRPr="00D17B5F">
        <w:rPr>
          <w:sz w:val="24"/>
          <w:szCs w:val="24"/>
        </w:rPr>
        <w:t>g</w:t>
      </w:r>
      <w:r w:rsidRPr="00D17B5F">
        <w:rPr>
          <w:sz w:val="24"/>
          <w:szCs w:val="24"/>
        </w:rPr>
        <w:t>keit durch Einbürgerung nach § 40b StAG oder durch Geburt im Inland nach § 4 Abs. 3 StAG erworben haben, optionspflichtig sein.</w:t>
      </w:r>
    </w:p>
    <w:p w:rsidR="00D17B5F" w:rsidRPr="00D17B5F" w:rsidRDefault="00D17B5F" w:rsidP="00D17B5F">
      <w:pPr>
        <w:spacing w:line="320" w:lineRule="atLeast"/>
        <w:rPr>
          <w:sz w:val="24"/>
          <w:szCs w:val="24"/>
        </w:rPr>
      </w:pPr>
    </w:p>
    <w:p w:rsidR="00D17B5F" w:rsidRDefault="00D17B5F" w:rsidP="00D17B5F">
      <w:pPr>
        <w:spacing w:line="320" w:lineRule="atLeast"/>
        <w:rPr>
          <w:sz w:val="24"/>
          <w:szCs w:val="24"/>
        </w:rPr>
      </w:pPr>
      <w:r w:rsidRPr="00D17B5F">
        <w:rPr>
          <w:sz w:val="24"/>
          <w:szCs w:val="24"/>
        </w:rPr>
        <w:t>Als Anlage übersende ich Ihnen die überarbeiteten Vorläufigen Anwendungshinweise zu § 29 StAG. Diese ersetzen die Regelungen in den von mir erlassenen Vorläufigen Anwe</w:t>
      </w:r>
      <w:r w:rsidRPr="00D17B5F">
        <w:rPr>
          <w:sz w:val="24"/>
          <w:szCs w:val="24"/>
        </w:rPr>
        <w:t>n</w:t>
      </w:r>
      <w:r w:rsidRPr="00D17B5F">
        <w:rPr>
          <w:sz w:val="24"/>
          <w:szCs w:val="24"/>
        </w:rPr>
        <w:t xml:space="preserve">dungshinweisen des Bundesministeriums des Innern mit Streichungen und Verweisungen des Senators für Inneres und Sport vom 17. April 2009 </w:t>
      </w:r>
      <w:proofErr w:type="spellStart"/>
      <w:r w:rsidRPr="00D17B5F">
        <w:rPr>
          <w:sz w:val="24"/>
          <w:szCs w:val="24"/>
        </w:rPr>
        <w:t>i.d.F</w:t>
      </w:r>
      <w:proofErr w:type="spellEnd"/>
      <w:r w:rsidRPr="00D17B5F">
        <w:rPr>
          <w:sz w:val="24"/>
          <w:szCs w:val="24"/>
        </w:rPr>
        <w:t>. vom 17. November 2011.</w:t>
      </w:r>
    </w:p>
    <w:p w:rsidR="00D17B5F" w:rsidRDefault="00D17B5F" w:rsidP="00D17B5F">
      <w:pPr>
        <w:spacing w:line="320" w:lineRule="atLeast"/>
        <w:rPr>
          <w:sz w:val="24"/>
          <w:szCs w:val="24"/>
        </w:rPr>
      </w:pPr>
    </w:p>
    <w:p w:rsidR="00D17B5F" w:rsidRPr="00D17B5F" w:rsidRDefault="00D17B5F" w:rsidP="00D17B5F">
      <w:pPr>
        <w:spacing w:line="320" w:lineRule="atLeast"/>
        <w:rPr>
          <w:sz w:val="24"/>
          <w:szCs w:val="24"/>
        </w:rPr>
      </w:pPr>
      <w:r>
        <w:rPr>
          <w:sz w:val="24"/>
          <w:szCs w:val="24"/>
        </w:rPr>
        <w:t>2.</w:t>
      </w:r>
    </w:p>
    <w:p w:rsidR="00D17B5F" w:rsidRDefault="00D17B5F" w:rsidP="00D17B5F">
      <w:pPr>
        <w:spacing w:line="320" w:lineRule="atLeast"/>
        <w:rPr>
          <w:sz w:val="24"/>
          <w:szCs w:val="24"/>
        </w:rPr>
      </w:pPr>
      <w:r w:rsidRPr="00D17B5F">
        <w:rPr>
          <w:sz w:val="24"/>
          <w:szCs w:val="24"/>
        </w:rPr>
        <w:t>Der neue § 29 StAG enthält keine Übergangsregelung für Optionsfälle, die eröffnet aber noch nicht abgeschlossen sind. Diese Fälle sind dahingehend zu überprüfen, ob die Opt</w:t>
      </w:r>
      <w:r w:rsidRPr="00D17B5F">
        <w:rPr>
          <w:sz w:val="24"/>
          <w:szCs w:val="24"/>
        </w:rPr>
        <w:t>i</w:t>
      </w:r>
      <w:r w:rsidRPr="00D17B5F">
        <w:rPr>
          <w:sz w:val="24"/>
          <w:szCs w:val="24"/>
        </w:rPr>
        <w:t>onspflicht auch nach neuem Recht besteht. Ist dieses zu verneinen, so sind die betroffenen Personen darüber zu unterrichten. Besteht die Optionspflicht weiter, so ist die betroffene Person ebenfalls über die neue Rechtslage zu informieren und der Optionshinweis nach Vollendung des 21. Lebensjahres erneut zuzustellen. Für Personen, die das 22. Lebensjahr vollendet haben, kann das Optionsverfahren nicht mehr durchgeführt werden.</w:t>
      </w:r>
    </w:p>
    <w:p w:rsidR="00D17B5F" w:rsidRPr="00D17B5F" w:rsidRDefault="00D17B5F" w:rsidP="00D17B5F">
      <w:pPr>
        <w:spacing w:line="320" w:lineRule="atLeast"/>
        <w:rPr>
          <w:sz w:val="24"/>
          <w:szCs w:val="24"/>
        </w:rPr>
      </w:pPr>
    </w:p>
    <w:p w:rsidR="00D17B5F" w:rsidRDefault="00D17B5F" w:rsidP="00D17B5F">
      <w:pPr>
        <w:spacing w:line="320" w:lineRule="atLeast"/>
        <w:rPr>
          <w:sz w:val="24"/>
          <w:szCs w:val="24"/>
        </w:rPr>
      </w:pPr>
    </w:p>
    <w:p w:rsidR="00D17B5F" w:rsidRDefault="00D17B5F" w:rsidP="00D17B5F">
      <w:pPr>
        <w:spacing w:line="320" w:lineRule="atLeast"/>
        <w:rPr>
          <w:sz w:val="24"/>
          <w:szCs w:val="24"/>
        </w:rPr>
      </w:pPr>
      <w:r>
        <w:rPr>
          <w:sz w:val="24"/>
          <w:szCs w:val="24"/>
        </w:rPr>
        <w:lastRenderedPageBreak/>
        <w:t>3.</w:t>
      </w:r>
    </w:p>
    <w:p w:rsidR="00D17B5F" w:rsidRDefault="00D17B5F" w:rsidP="00D17B5F">
      <w:pPr>
        <w:spacing w:line="320" w:lineRule="atLeast"/>
        <w:rPr>
          <w:sz w:val="24"/>
          <w:szCs w:val="24"/>
        </w:rPr>
      </w:pPr>
      <w:r w:rsidRPr="00D17B5F">
        <w:rPr>
          <w:sz w:val="24"/>
          <w:szCs w:val="24"/>
        </w:rPr>
        <w:t>Personen, die das Optionsverfahren bereits abgeschlossen haben und nach neuem Recht nicht optionspflichtig wären, können, sofern sie für die ausländische Staatsangehörigkeit o</w:t>
      </w:r>
      <w:r w:rsidRPr="00D17B5F">
        <w:rPr>
          <w:sz w:val="24"/>
          <w:szCs w:val="24"/>
        </w:rPr>
        <w:t>p</w:t>
      </w:r>
      <w:r w:rsidRPr="00D17B5F">
        <w:rPr>
          <w:sz w:val="24"/>
          <w:szCs w:val="24"/>
        </w:rPr>
        <w:t xml:space="preserve">tiert und die deutsche Staatsangehörigkeit verloren haben, nach § 8 StAG unter erleichterten Voraussetzungen die deutsche Staatsangehörigkeit bei Beibehaltung ihrer ausländischen Staatsangehörigkeit wiedererwerben. </w:t>
      </w:r>
      <w:r>
        <w:rPr>
          <w:sz w:val="24"/>
          <w:szCs w:val="24"/>
        </w:rPr>
        <w:t>Dieses gilt auch für Personen, die die deutsche Staatsangehörigkeit verloren haben, weil sie keine Optionserklärung abgegeben haben.</w:t>
      </w:r>
      <w:r w:rsidRPr="00D17B5F">
        <w:rPr>
          <w:sz w:val="24"/>
          <w:szCs w:val="24"/>
        </w:rPr>
        <w:t xml:space="preserve"> </w:t>
      </w:r>
      <w:r>
        <w:rPr>
          <w:sz w:val="24"/>
          <w:szCs w:val="24"/>
        </w:rPr>
        <w:t xml:space="preserve">Im </w:t>
      </w:r>
      <w:r w:rsidRPr="00D17B5F">
        <w:rPr>
          <w:sz w:val="24"/>
          <w:szCs w:val="24"/>
        </w:rPr>
        <w:t xml:space="preserve">Hinblick auf das öffentliche Interesse an einer Gleichbehandlung der Personengruppen kann bei einer Wiedereinbürgerung von der Unterhaltsfähigkeit nach § 8 </w:t>
      </w:r>
      <w:r>
        <w:rPr>
          <w:sz w:val="24"/>
          <w:szCs w:val="24"/>
        </w:rPr>
        <w:t xml:space="preserve">Abs. 1 </w:t>
      </w:r>
      <w:r w:rsidRPr="00D17B5F">
        <w:rPr>
          <w:sz w:val="24"/>
          <w:szCs w:val="24"/>
        </w:rPr>
        <w:t>Nr. 4 StAG abg</w:t>
      </w:r>
      <w:r w:rsidRPr="00D17B5F">
        <w:rPr>
          <w:sz w:val="24"/>
          <w:szCs w:val="24"/>
        </w:rPr>
        <w:t>e</w:t>
      </w:r>
      <w:r w:rsidRPr="00D17B5F">
        <w:rPr>
          <w:sz w:val="24"/>
          <w:szCs w:val="24"/>
        </w:rPr>
        <w:t>sehen werden.</w:t>
      </w:r>
    </w:p>
    <w:p w:rsidR="00D17B5F" w:rsidRPr="00D17B5F" w:rsidRDefault="00D17B5F" w:rsidP="00D17B5F">
      <w:pPr>
        <w:spacing w:line="320" w:lineRule="atLeast"/>
        <w:rPr>
          <w:sz w:val="24"/>
          <w:szCs w:val="24"/>
        </w:rPr>
      </w:pPr>
    </w:p>
    <w:p w:rsidR="00D17B5F" w:rsidRDefault="00D17B5F" w:rsidP="00D17B5F">
      <w:pPr>
        <w:spacing w:line="320" w:lineRule="atLeast"/>
        <w:rPr>
          <w:sz w:val="24"/>
          <w:szCs w:val="24"/>
        </w:rPr>
      </w:pPr>
      <w:r w:rsidRPr="00D17B5F">
        <w:rPr>
          <w:sz w:val="24"/>
          <w:szCs w:val="24"/>
        </w:rPr>
        <w:t>Personen, die die ausländische Staatsangehörigkeit verloren haben, kann vor einem Wi</w:t>
      </w:r>
      <w:r w:rsidRPr="00D17B5F">
        <w:rPr>
          <w:sz w:val="24"/>
          <w:szCs w:val="24"/>
        </w:rPr>
        <w:t>e</w:t>
      </w:r>
      <w:r w:rsidRPr="00D17B5F">
        <w:rPr>
          <w:sz w:val="24"/>
          <w:szCs w:val="24"/>
        </w:rPr>
        <w:t>dererwerb d</w:t>
      </w:r>
      <w:r>
        <w:rPr>
          <w:sz w:val="24"/>
          <w:szCs w:val="24"/>
        </w:rPr>
        <w:t>i</w:t>
      </w:r>
      <w:r w:rsidRPr="00D17B5F">
        <w:rPr>
          <w:sz w:val="24"/>
          <w:szCs w:val="24"/>
        </w:rPr>
        <w:t>e</w:t>
      </w:r>
      <w:r>
        <w:rPr>
          <w:sz w:val="24"/>
          <w:szCs w:val="24"/>
        </w:rPr>
        <w:t>se</w:t>
      </w:r>
      <w:r w:rsidRPr="00D17B5F">
        <w:rPr>
          <w:sz w:val="24"/>
          <w:szCs w:val="24"/>
        </w:rPr>
        <w:t>r Staatsangehörigkeit eine Beibehaltungsgenehmigung erteilt werden, sofern sie nach neuem Recht nicht optionspflichtig wären.</w:t>
      </w:r>
    </w:p>
    <w:p w:rsidR="00D17B5F" w:rsidRDefault="00D17B5F" w:rsidP="00D17B5F">
      <w:pPr>
        <w:spacing w:line="320" w:lineRule="atLeast"/>
        <w:rPr>
          <w:sz w:val="24"/>
          <w:szCs w:val="24"/>
        </w:rPr>
      </w:pPr>
    </w:p>
    <w:p w:rsidR="00D17B5F" w:rsidRPr="00D17B5F" w:rsidRDefault="00D17B5F" w:rsidP="00D17B5F">
      <w:pPr>
        <w:spacing w:line="320" w:lineRule="atLeast"/>
        <w:rPr>
          <w:sz w:val="24"/>
          <w:szCs w:val="24"/>
        </w:rPr>
      </w:pPr>
      <w:r w:rsidRPr="00D17B5F">
        <w:rPr>
          <w:sz w:val="24"/>
          <w:szCs w:val="24"/>
        </w:rPr>
        <w:t>Die betroffenen Personen sind im Rahmen des Möglichen anzuschreiben.</w:t>
      </w:r>
    </w:p>
    <w:p w:rsidR="00D17B5F" w:rsidRDefault="00D17B5F" w:rsidP="00D17B5F">
      <w:pPr>
        <w:spacing w:line="320" w:lineRule="atLeast"/>
        <w:rPr>
          <w:sz w:val="24"/>
          <w:szCs w:val="24"/>
        </w:rPr>
      </w:pPr>
    </w:p>
    <w:p w:rsidR="00D17B5F" w:rsidRDefault="00D17B5F" w:rsidP="00D17B5F">
      <w:pPr>
        <w:spacing w:line="320" w:lineRule="atLeast"/>
        <w:rPr>
          <w:sz w:val="24"/>
          <w:szCs w:val="24"/>
        </w:rPr>
      </w:pPr>
      <w:r>
        <w:rPr>
          <w:sz w:val="24"/>
          <w:szCs w:val="24"/>
        </w:rPr>
        <w:t>4.</w:t>
      </w:r>
    </w:p>
    <w:p w:rsidR="00D17B5F" w:rsidRDefault="00D17B5F" w:rsidP="00D17B5F">
      <w:pPr>
        <w:spacing w:line="320" w:lineRule="atLeast"/>
        <w:rPr>
          <w:sz w:val="24"/>
          <w:szCs w:val="24"/>
        </w:rPr>
      </w:pPr>
      <w:r w:rsidRPr="00D17B5F">
        <w:rPr>
          <w:sz w:val="24"/>
          <w:szCs w:val="24"/>
        </w:rPr>
        <w:t>Musterschreiben des Bundesministeriums des Innern für die jeweiligen Anwendungsfälle I</w:t>
      </w:r>
      <w:r w:rsidRPr="00D17B5F">
        <w:rPr>
          <w:sz w:val="24"/>
          <w:szCs w:val="24"/>
        </w:rPr>
        <w:t>n</w:t>
      </w:r>
      <w:r w:rsidRPr="00D17B5F">
        <w:rPr>
          <w:sz w:val="24"/>
          <w:szCs w:val="24"/>
        </w:rPr>
        <w:t>nern sind beigefügt.</w:t>
      </w:r>
    </w:p>
    <w:p w:rsidR="00D17B5F" w:rsidRDefault="00D17B5F" w:rsidP="00D17B5F">
      <w:pPr>
        <w:spacing w:line="320" w:lineRule="atLeast"/>
        <w:rPr>
          <w:sz w:val="24"/>
          <w:szCs w:val="24"/>
        </w:rPr>
      </w:pPr>
    </w:p>
    <w:p w:rsidR="00D17B5F" w:rsidRPr="00D17B5F" w:rsidRDefault="00D17B5F" w:rsidP="00D17B5F">
      <w:pPr>
        <w:spacing w:line="320" w:lineRule="atLeast"/>
        <w:rPr>
          <w:sz w:val="24"/>
          <w:szCs w:val="24"/>
        </w:rPr>
      </w:pPr>
      <w:r>
        <w:rPr>
          <w:sz w:val="24"/>
          <w:szCs w:val="24"/>
        </w:rPr>
        <w:t>5.</w:t>
      </w:r>
    </w:p>
    <w:p w:rsidR="00D17B5F" w:rsidRDefault="00D17B5F" w:rsidP="00D17B5F">
      <w:pPr>
        <w:spacing w:line="320" w:lineRule="atLeast"/>
        <w:rPr>
          <w:sz w:val="24"/>
          <w:szCs w:val="24"/>
        </w:rPr>
      </w:pPr>
      <w:r w:rsidRPr="00D17B5F">
        <w:rPr>
          <w:sz w:val="24"/>
          <w:szCs w:val="24"/>
        </w:rPr>
        <w:t>Die Gebühren für die Wiedereinbürgerung bzw. die Erteilung einer Beibehaltungsgenehm</w:t>
      </w:r>
      <w:r w:rsidRPr="00D17B5F">
        <w:rPr>
          <w:sz w:val="24"/>
          <w:szCs w:val="24"/>
        </w:rPr>
        <w:t>i</w:t>
      </w:r>
      <w:r w:rsidRPr="00D17B5F">
        <w:rPr>
          <w:sz w:val="24"/>
          <w:szCs w:val="24"/>
        </w:rPr>
        <w:t>gung können aus Gründen des öffentlichen Interesses an einer Gleichbehandlung des von § 29 StAG (alt und neu) betroffenen Personenkreises um 50 v.H. ermäßigt werden.</w:t>
      </w:r>
    </w:p>
    <w:p w:rsidR="00DE28AA" w:rsidRDefault="00DE28AA" w:rsidP="00D17B5F">
      <w:pPr>
        <w:spacing w:line="320" w:lineRule="atLeast"/>
        <w:rPr>
          <w:sz w:val="24"/>
          <w:szCs w:val="24"/>
        </w:rPr>
      </w:pPr>
    </w:p>
    <w:p w:rsidR="00DE28AA" w:rsidRPr="00D17B5F" w:rsidRDefault="00DE28AA" w:rsidP="00D17B5F">
      <w:pPr>
        <w:spacing w:line="320" w:lineRule="atLeast"/>
        <w:rPr>
          <w:sz w:val="24"/>
          <w:szCs w:val="24"/>
        </w:rPr>
      </w:pPr>
      <w:r>
        <w:rPr>
          <w:sz w:val="24"/>
          <w:szCs w:val="24"/>
        </w:rPr>
        <w:t>6.</w:t>
      </w:r>
    </w:p>
    <w:p w:rsidR="00D17B5F" w:rsidRPr="00D17B5F" w:rsidRDefault="00D17B5F" w:rsidP="00D17B5F">
      <w:pPr>
        <w:spacing w:line="320" w:lineRule="atLeast"/>
        <w:rPr>
          <w:sz w:val="24"/>
          <w:szCs w:val="24"/>
        </w:rPr>
      </w:pPr>
      <w:r w:rsidRPr="00D17B5F">
        <w:rPr>
          <w:sz w:val="24"/>
          <w:szCs w:val="24"/>
        </w:rPr>
        <w:t xml:space="preserve">Mein Erlass vom 20. Februar 2013 zur Hinnahme von </w:t>
      </w:r>
      <w:proofErr w:type="spellStart"/>
      <w:r w:rsidRPr="00D17B5F">
        <w:rPr>
          <w:sz w:val="24"/>
          <w:szCs w:val="24"/>
        </w:rPr>
        <w:t>Mehrstaatigkeit</w:t>
      </w:r>
      <w:proofErr w:type="spellEnd"/>
      <w:r w:rsidRPr="00D17B5F">
        <w:rPr>
          <w:sz w:val="24"/>
          <w:szCs w:val="24"/>
        </w:rPr>
        <w:t xml:space="preserve"> bei optionspflichtigen Personen nach § 29 StAG ist unter Berücksichtigung der Änderungen durch das 2. </w:t>
      </w:r>
      <w:proofErr w:type="spellStart"/>
      <w:r w:rsidRPr="00D17B5F">
        <w:rPr>
          <w:sz w:val="24"/>
          <w:szCs w:val="24"/>
        </w:rPr>
        <w:t>StAÄndG</w:t>
      </w:r>
      <w:proofErr w:type="spellEnd"/>
      <w:r w:rsidRPr="00D17B5F">
        <w:rPr>
          <w:sz w:val="24"/>
          <w:szCs w:val="24"/>
        </w:rPr>
        <w:t xml:space="preserve"> weiterhin anzuwenden.</w:t>
      </w:r>
    </w:p>
    <w:p w:rsidR="00D17B5F" w:rsidRPr="00B600F7" w:rsidRDefault="00D17B5F" w:rsidP="00B600F7">
      <w:pPr>
        <w:spacing w:line="320" w:lineRule="atLeast"/>
        <w:rPr>
          <w:sz w:val="24"/>
          <w:szCs w:val="24"/>
        </w:rPr>
      </w:pPr>
    </w:p>
    <w:p w:rsidR="00B31D5A" w:rsidRPr="00B600F7" w:rsidRDefault="00DE28AA" w:rsidP="00B600F7">
      <w:pPr>
        <w:spacing w:line="320" w:lineRule="atLeast"/>
        <w:rPr>
          <w:sz w:val="24"/>
          <w:szCs w:val="24"/>
        </w:rPr>
      </w:pPr>
      <w:r>
        <w:rPr>
          <w:sz w:val="24"/>
          <w:szCs w:val="24"/>
        </w:rPr>
        <w:t>I</w:t>
      </w:r>
      <w:r w:rsidR="00B31D5A" w:rsidRPr="00B600F7">
        <w:rPr>
          <w:sz w:val="24"/>
          <w:szCs w:val="24"/>
        </w:rPr>
        <w:t>m Auftrag</w:t>
      </w:r>
    </w:p>
    <w:p w:rsidR="00B31D5A" w:rsidRPr="00B600F7" w:rsidRDefault="00B31D5A" w:rsidP="00B600F7">
      <w:pPr>
        <w:spacing w:line="320" w:lineRule="atLeast"/>
        <w:rPr>
          <w:sz w:val="24"/>
          <w:szCs w:val="24"/>
        </w:rPr>
      </w:pPr>
    </w:p>
    <w:p w:rsidR="00B31D5A" w:rsidRDefault="00DE28AA" w:rsidP="00B600F7">
      <w:pPr>
        <w:spacing w:line="320" w:lineRule="atLeast"/>
        <w:rPr>
          <w:sz w:val="24"/>
          <w:szCs w:val="24"/>
        </w:rPr>
      </w:pPr>
      <w:r>
        <w:rPr>
          <w:sz w:val="24"/>
          <w:szCs w:val="24"/>
        </w:rPr>
        <w:t>Xyländer</w:t>
      </w:r>
    </w:p>
    <w:sectPr w:rsidR="00B31D5A">
      <w:headerReference w:type="even" r:id="rId8"/>
      <w:headerReference w:type="default" r:id="rId9"/>
      <w:footerReference w:type="even" r:id="rId10"/>
      <w:footerReference w:type="default" r:id="rId11"/>
      <w:headerReference w:type="first" r:id="rId12"/>
      <w:footerReference w:type="first" r:id="rId13"/>
      <w:type w:val="continuous"/>
      <w:pgSz w:w="11906" w:h="16838"/>
      <w:pgMar w:top="1247" w:right="737" w:bottom="1134" w:left="1276" w:header="567"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23" w:rsidRDefault="00435F23">
      <w:r>
        <w:separator/>
      </w:r>
    </w:p>
  </w:endnote>
  <w:endnote w:type="continuationSeparator" w:id="0">
    <w:p w:rsidR="00435F23" w:rsidRDefault="0043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5F" w:rsidRDefault="00D17B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5F" w:rsidRDefault="00D17B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5A" w:rsidRDefault="00F64872">
    <w:pPr>
      <w:pStyle w:val="Textkrper2"/>
      <w:tabs>
        <w:tab w:val="clear" w:pos="5103"/>
        <w:tab w:val="clear" w:pos="6804"/>
        <w:tab w:val="clear" w:pos="8505"/>
        <w:tab w:val="left" w:pos="4820"/>
        <w:tab w:val="left" w:pos="6096"/>
      </w:tabs>
    </w:pPr>
    <w:r>
      <w:rPr>
        <w:noProof/>
        <w:lang w:eastAsia="zh-CN"/>
      </w:rPr>
      <w:drawing>
        <wp:anchor distT="0" distB="0" distL="114300" distR="114300" simplePos="0" relativeHeight="251660800" behindDoc="0" locked="0" layoutInCell="0" allowOverlap="1" wp14:anchorId="1E778BB0" wp14:editId="6B368ED0">
          <wp:simplePos x="0" y="0"/>
          <wp:positionH relativeFrom="column">
            <wp:posOffset>1932940</wp:posOffset>
          </wp:positionH>
          <wp:positionV relativeFrom="paragraph">
            <wp:posOffset>110490</wp:posOffset>
          </wp:positionV>
          <wp:extent cx="179705" cy="179705"/>
          <wp:effectExtent l="0" t="0" r="0" b="0"/>
          <wp:wrapTopAndBottom/>
          <wp:docPr id="17" name="Bild 17" descr="halte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lte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776" behindDoc="0" locked="0" layoutInCell="0" allowOverlap="1" wp14:anchorId="2711C464" wp14:editId="6FA7E959">
          <wp:simplePos x="0" y="0"/>
          <wp:positionH relativeFrom="column">
            <wp:posOffset>911225</wp:posOffset>
          </wp:positionH>
          <wp:positionV relativeFrom="paragraph">
            <wp:posOffset>110490</wp:posOffset>
          </wp:positionV>
          <wp:extent cx="140335" cy="179705"/>
          <wp:effectExtent l="0" t="0" r="0" b="0"/>
          <wp:wrapTopAndBottom/>
          <wp:docPr id="16" name="Bild 16" descr="p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0" locked="0" layoutInCell="0" allowOverlap="1" wp14:anchorId="17AFDDF1" wp14:editId="50E21B86">
          <wp:simplePos x="0" y="0"/>
          <wp:positionH relativeFrom="column">
            <wp:posOffset>6350</wp:posOffset>
          </wp:positionH>
          <wp:positionV relativeFrom="paragraph">
            <wp:posOffset>107315</wp:posOffset>
          </wp:positionV>
          <wp:extent cx="150495" cy="169545"/>
          <wp:effectExtent l="0" t="0" r="1905" b="1905"/>
          <wp:wrapSquare wrapText="right"/>
          <wp:docPr id="13" name="Bild 13" descr="behinde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hindert.bmp"/>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049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7728" behindDoc="0" locked="1" layoutInCell="0" allowOverlap="1" wp14:anchorId="0D46CDA2" wp14:editId="704B6D2E">
              <wp:simplePos x="0" y="0"/>
              <wp:positionH relativeFrom="page">
                <wp:posOffset>215900</wp:posOffset>
              </wp:positionH>
              <wp:positionV relativeFrom="page">
                <wp:posOffset>5346700</wp:posOffset>
              </wp:positionV>
              <wp:extent cx="179705"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t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" o:allowincell="f">
              <w10:wrap anchorx="page" anchory="page"/>
              <w10:anchorlock/>
            </v:line>
          </w:pict>
        </mc:Fallback>
      </mc:AlternateContent>
    </w:r>
    <w:r>
      <w:rPr>
        <w:noProof/>
        <w:lang w:eastAsia="zh-CN"/>
      </w:rPr>
      <mc:AlternateContent>
        <mc:Choice Requires="wps">
          <w:drawing>
            <wp:anchor distT="0" distB="0" distL="114300" distR="114300" simplePos="0" relativeHeight="251658752" behindDoc="0" locked="1" layoutInCell="0" allowOverlap="1" wp14:anchorId="18A879CB" wp14:editId="125532CC">
              <wp:simplePos x="0" y="0"/>
              <wp:positionH relativeFrom="page">
                <wp:posOffset>215900</wp:posOffset>
              </wp:positionH>
              <wp:positionV relativeFrom="page">
                <wp:posOffset>7560945</wp:posOffset>
              </wp:positionV>
              <wp:extent cx="10795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W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" o:allowincell="f">
              <w10:wrap anchorx="page" anchory="page"/>
              <w10:anchorlock/>
            </v:line>
          </w:pict>
        </mc:Fallback>
      </mc:AlternateContent>
    </w:r>
    <w:r w:rsidR="00B31D5A">
      <w:tab/>
      <w:t>Eingang</w:t>
    </w:r>
    <w:r w:rsidR="00B31D5A">
      <w:tab/>
      <w:t>Dienstgebäude</w:t>
    </w:r>
    <w:r w:rsidR="00B31D5A">
      <w:tab/>
      <w:t>Bus / Straßenbahn</w:t>
    </w:r>
    <w:r w:rsidR="00B31D5A">
      <w:tab/>
      <w:t>Sprechzeiten</w:t>
    </w:r>
    <w:r w:rsidR="00B31D5A">
      <w:tab/>
      <w:t>Bremer Landesbank (BLZ 290 500 00) Kto. 1070115000</w:t>
    </w:r>
    <w:r w:rsidR="00B31D5A">
      <w:br/>
    </w:r>
    <w:r w:rsidR="00B31D5A">
      <w:tab/>
    </w:r>
    <w:proofErr w:type="spellStart"/>
    <w:r w:rsidR="00B31D5A">
      <w:t>Contrescarpe</w:t>
    </w:r>
    <w:proofErr w:type="spellEnd"/>
    <w:r w:rsidR="00B31D5A">
      <w:t xml:space="preserve"> 22</w:t>
    </w:r>
    <w:r w:rsidR="00B31D5A">
      <w:tab/>
    </w:r>
    <w:proofErr w:type="spellStart"/>
    <w:r w:rsidR="00B31D5A">
      <w:t>Contrescarpe</w:t>
    </w:r>
    <w:proofErr w:type="spellEnd"/>
    <w:r w:rsidR="00B31D5A">
      <w:t xml:space="preserve"> 22/24</w:t>
    </w:r>
    <w:r w:rsidR="00B31D5A">
      <w:tab/>
      <w:t>Hauptbahnhof</w:t>
    </w:r>
    <w:r w:rsidR="00B31D5A">
      <w:tab/>
      <w:t>Mo. bis Do.</w:t>
    </w:r>
    <w:r w:rsidR="00B31D5A">
      <w:tab/>
      <w:t>Deutsche Bundesbank (BLZ 290 000 00) Kto. 29001565</w:t>
    </w:r>
    <w:r w:rsidR="00B31D5A">
      <w:br/>
    </w:r>
    <w:r w:rsidR="00B31D5A">
      <w:tab/>
      <w:t>28203 Bremen</w:t>
    </w:r>
    <w:r w:rsidR="00B31D5A">
      <w:tab/>
      <w:t>28203 Bremen</w:t>
    </w:r>
    <w:r w:rsidR="00B31D5A">
      <w:tab/>
      <w:t>Theater am</w:t>
    </w:r>
    <w:r w:rsidR="00B31D5A">
      <w:tab/>
      <w:t>9.00 bis 15.00 Uhr</w:t>
    </w:r>
    <w:r w:rsidR="00B31D5A">
      <w:tab/>
      <w:t>Sparkasse Bremen (BLZ 290 501 01) Kto. 1090653</w:t>
    </w:r>
    <w:r w:rsidR="00B31D5A">
      <w:br/>
    </w:r>
    <w:r w:rsidR="00B31D5A">
      <w:tab/>
    </w:r>
    <w:r w:rsidR="00B31D5A">
      <w:tab/>
    </w:r>
    <w:r w:rsidR="00B31D5A">
      <w:tab/>
      <w:t>Goetheplatz</w:t>
    </w:r>
    <w:r w:rsidR="00B31D5A">
      <w:tab/>
      <w:t>Fr. 9.00 bis 13.00 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23" w:rsidRDefault="00435F23">
      <w:r>
        <w:separator/>
      </w:r>
    </w:p>
  </w:footnote>
  <w:footnote w:type="continuationSeparator" w:id="0">
    <w:p w:rsidR="00435F23" w:rsidRDefault="00435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5F" w:rsidRDefault="00D17B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5A" w:rsidRDefault="00B31D5A">
    <w:pPr>
      <w:pStyle w:val="Kopfzeile"/>
      <w:jc w:val="right"/>
      <w:rPr>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B116DA">
      <w:rPr>
        <w:rStyle w:val="Seitenzahl"/>
        <w:noProof/>
        <w:sz w:val="16"/>
      </w:rPr>
      <w:t>2</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B116DA">
      <w:rPr>
        <w:rStyle w:val="Seitenzahl"/>
        <w:noProof/>
        <w:sz w:val="16"/>
      </w:rPr>
      <w:t>2</w:t>
    </w:r>
    <w:r>
      <w:rPr>
        <w:rStyle w:val="Seitenzahl"/>
        <w:sz w:val="16"/>
      </w:rPr>
      <w:fldChar w:fldCharType="end"/>
    </w:r>
    <w:r>
      <w:rPr>
        <w:rStyle w:val="Seitenzahl"/>
        <w:sz w:val="16"/>
      </w:rPr>
      <w:t xml:space="preserve"> Seiten, Senator für Inneres und Sport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5A" w:rsidRDefault="00B116D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6.05pt;margin-top:47pt;width:23.55pt;height:31.8pt;z-index:251655680" o:allowincell="f" fillcolor="window">
          <v:imagedata r:id="rId1" o:title=""/>
        </v:shape>
        <o:OLEObject Type="Embed" ProgID="Word.Picture.8" ShapeID="_x0000_s2053" DrawAspect="Content" ObjectID="_1483188026" r:id="rId2"/>
      </w:pict>
    </w:r>
    <w:r w:rsidR="00F64872">
      <w:rPr>
        <w:noProof/>
        <w:lang w:eastAsia="zh-CN"/>
      </w:rPr>
      <mc:AlternateContent>
        <mc:Choice Requires="wps">
          <w:drawing>
            <wp:anchor distT="0" distB="0" distL="114300" distR="114300" simplePos="0" relativeHeight="251654656" behindDoc="0" locked="1" layoutInCell="0" allowOverlap="1" wp14:anchorId="7B2FD6CB" wp14:editId="755023BA">
              <wp:simplePos x="0" y="0"/>
              <wp:positionH relativeFrom="page">
                <wp:posOffset>215900</wp:posOffset>
              </wp:positionH>
              <wp:positionV relativeFrom="page">
                <wp:posOffset>3780790</wp:posOffset>
              </wp:positionV>
              <wp:extent cx="1079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lF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" o:allowincell="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2F77"/>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attachedTemplate r:id="rId1"/>
  <w:defaultTabStop w:val="708"/>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72"/>
    <w:rsid w:val="00435F23"/>
    <w:rsid w:val="005E3F16"/>
    <w:rsid w:val="00B116DA"/>
    <w:rsid w:val="00B31D5A"/>
    <w:rsid w:val="00B600F7"/>
    <w:rsid w:val="00B87CE5"/>
    <w:rsid w:val="00BC3149"/>
    <w:rsid w:val="00D17B5F"/>
    <w:rsid w:val="00D42BEC"/>
    <w:rsid w:val="00DE28AA"/>
    <w:rsid w:val="00E32F64"/>
    <w:rsid w:val="00F1461E"/>
    <w:rsid w:val="00F648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20" w:lineRule="exact"/>
      <w:outlineLvl w:val="0"/>
    </w:pPr>
    <w:rPr>
      <w:b/>
      <w:color w:val="000000"/>
      <w:sz w:val="24"/>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line="320" w:lineRule="atLeas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rPr>
      <w:rFonts w:ascii="CG Times (WN)" w:hAnsi="CG Times (WN)"/>
    </w:rPr>
  </w:style>
  <w:style w:type="paragraph" w:styleId="Textkrper">
    <w:name w:val="Body Text"/>
    <w:basedOn w:val="Standard"/>
    <w:semiHidden/>
    <w:rPr>
      <w:b/>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3">
    <w:name w:val="Body Text 3"/>
    <w:basedOn w:val="Standard"/>
    <w:semiHidden/>
    <w:pPr>
      <w:spacing w:line="320" w:lineRule="atLeas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20" w:lineRule="exact"/>
      <w:outlineLvl w:val="0"/>
    </w:pPr>
    <w:rPr>
      <w:b/>
      <w:color w:val="000000"/>
      <w:sz w:val="24"/>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line="320" w:lineRule="atLeas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rPr>
      <w:rFonts w:ascii="CG Times (WN)" w:hAnsi="CG Times (WN)"/>
    </w:rPr>
  </w:style>
  <w:style w:type="paragraph" w:styleId="Textkrper">
    <w:name w:val="Body Text"/>
    <w:basedOn w:val="Standard"/>
    <w:semiHidden/>
    <w:rPr>
      <w:b/>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3">
    <w:name w:val="Body Text 3"/>
    <w:basedOn w:val="Standard"/>
    <w:semiHidden/>
    <w:pPr>
      <w:spacing w:line="32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behindert.bmp"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1.Staatsangeh&#246;rigkeitsrecht\Optionsverfahren\Hinnahme%20von%20Mehrstaatigkei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Hinnahme von Mehrstaatigkeit</Template>
  <TotalTime>0</TotalTime>
  <Pages>2</Pages>
  <Words>481</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3622</CharactersWithSpaces>
  <SharedDoc>false</SharedDoc>
  <HLinks>
    <vt:vector size="6" baseType="variant">
      <vt:variant>
        <vt:i4>5832727</vt:i4>
      </vt:variant>
      <vt:variant>
        <vt:i4>-1</vt:i4>
      </vt:variant>
      <vt:variant>
        <vt:i4>2061</vt:i4>
      </vt:variant>
      <vt:variant>
        <vt:i4>1</vt:i4>
      </vt:variant>
      <vt:variant>
        <vt:lpwstr>behindert.bmp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Döhle, Hans-Werner(Inneres)</dc:creator>
  <cp:lastModifiedBy>Döhle, Hans-Werner (Senator für Inneres und Sport)</cp:lastModifiedBy>
  <cp:revision>3</cp:revision>
  <cp:lastPrinted>2015-01-19T14:53:00Z</cp:lastPrinted>
  <dcterms:created xsi:type="dcterms:W3CDTF">2015-01-12T10:09:00Z</dcterms:created>
  <dcterms:modified xsi:type="dcterms:W3CDTF">2015-01-19T14:54:00Z</dcterms:modified>
</cp:coreProperties>
</file>