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706"/>
        <w:gridCol w:w="1985"/>
        <w:gridCol w:w="680"/>
        <w:gridCol w:w="2764"/>
      </w:tblGrid>
      <w:tr w:rsidR="00B31D5A">
        <w:trPr>
          <w:trHeight w:hRule="exact" w:val="1600"/>
        </w:trPr>
        <w:tc>
          <w:tcPr>
            <w:tcW w:w="6691" w:type="dxa"/>
            <w:gridSpan w:val="2"/>
          </w:tcPr>
          <w:p w:rsidR="00B31D5A" w:rsidRDefault="00B31D5A">
            <w:pPr>
              <w:spacing w:line="320" w:lineRule="exact"/>
              <w:rPr>
                <w:b/>
                <w:color w:val="000000"/>
                <w:sz w:val="24"/>
              </w:rPr>
            </w:pPr>
            <w:bookmarkStart w:id="0" w:name="_GoBack"/>
            <w:bookmarkEnd w:id="0"/>
            <w:r>
              <w:rPr>
                <w:b/>
                <w:color w:val="000000"/>
                <w:sz w:val="24"/>
              </w:rPr>
              <w:t>Der Senator für Inneres und Sport</w:t>
            </w:r>
            <w:r>
              <w:rPr>
                <w:b/>
                <w:color w:val="000000"/>
                <w:sz w:val="24"/>
              </w:rPr>
              <w:br/>
            </w:r>
          </w:p>
          <w:p w:rsidR="00B31D5A" w:rsidRDefault="00B31D5A">
            <w:pPr>
              <w:spacing w:line="320" w:lineRule="exact"/>
            </w:pPr>
            <w:r>
              <w:rPr>
                <w:b/>
                <w:color w:val="000000"/>
                <w:sz w:val="24"/>
              </w:rPr>
              <w:t xml:space="preserve"> </w:t>
            </w:r>
          </w:p>
        </w:tc>
        <w:tc>
          <w:tcPr>
            <w:tcW w:w="680" w:type="dxa"/>
          </w:tcPr>
          <w:p w:rsidR="00B31D5A" w:rsidRDefault="00B31D5A">
            <w:pPr>
              <w:spacing w:line="320" w:lineRule="exact"/>
            </w:pPr>
          </w:p>
        </w:tc>
        <w:tc>
          <w:tcPr>
            <w:tcW w:w="2764" w:type="dxa"/>
          </w:tcPr>
          <w:p w:rsidR="00B31D5A" w:rsidRDefault="00B31D5A">
            <w:pPr>
              <w:spacing w:line="320" w:lineRule="exact"/>
            </w:pPr>
            <w:r>
              <w:rPr>
                <w:b/>
                <w:sz w:val="28"/>
              </w:rPr>
              <w:t>Freie</w:t>
            </w:r>
            <w:r>
              <w:rPr>
                <w:b/>
                <w:sz w:val="28"/>
              </w:rPr>
              <w:br/>
              <w:t>Hansestadt</w:t>
            </w:r>
            <w:r>
              <w:rPr>
                <w:b/>
                <w:sz w:val="28"/>
              </w:rPr>
              <w:br/>
              <w:t>Bremen</w:t>
            </w:r>
          </w:p>
        </w:tc>
      </w:tr>
      <w:tr w:rsidR="00B31D5A">
        <w:trPr>
          <w:cantSplit/>
          <w:trHeight w:hRule="exact" w:val="3600"/>
        </w:trPr>
        <w:tc>
          <w:tcPr>
            <w:tcW w:w="4706" w:type="dxa"/>
          </w:tcPr>
          <w:p w:rsidR="00B31D5A" w:rsidRDefault="00B31D5A">
            <w:pPr>
              <w:spacing w:after="120"/>
              <w:rPr>
                <w:sz w:val="15"/>
              </w:rPr>
            </w:pPr>
            <w:r>
              <w:rPr>
                <w:sz w:val="15"/>
              </w:rPr>
              <w:t>Der Senator für Inneres und Sport</w:t>
            </w:r>
            <w:r>
              <w:rPr>
                <w:sz w:val="15"/>
              </w:rPr>
              <w:br/>
            </w:r>
            <w:proofErr w:type="spellStart"/>
            <w:r>
              <w:rPr>
                <w:sz w:val="15"/>
              </w:rPr>
              <w:t>Contrescarpe</w:t>
            </w:r>
            <w:proofErr w:type="spellEnd"/>
            <w:r>
              <w:rPr>
                <w:sz w:val="15"/>
              </w:rPr>
              <w:t xml:space="preserve"> 22/24, 28203 Bremen</w:t>
            </w:r>
          </w:p>
          <w:p w:rsidR="00B31D5A" w:rsidRDefault="00B31D5A">
            <w:bookmarkStart w:id="1" w:name="Anschrift"/>
            <w:bookmarkEnd w:id="1"/>
          </w:p>
          <w:p w:rsidR="00B31D5A" w:rsidRPr="00B600F7" w:rsidRDefault="00B600F7">
            <w:pPr>
              <w:rPr>
                <w:sz w:val="24"/>
                <w:szCs w:val="24"/>
              </w:rPr>
            </w:pPr>
            <w:r w:rsidRPr="00B600F7">
              <w:rPr>
                <w:sz w:val="24"/>
                <w:szCs w:val="24"/>
              </w:rPr>
              <w:t>Stadtamt Bremen</w:t>
            </w:r>
          </w:p>
          <w:p w:rsidR="00B600F7" w:rsidRPr="00B600F7" w:rsidRDefault="00B600F7">
            <w:pPr>
              <w:rPr>
                <w:sz w:val="24"/>
                <w:szCs w:val="24"/>
              </w:rPr>
            </w:pPr>
            <w:r w:rsidRPr="00B600F7">
              <w:rPr>
                <w:sz w:val="24"/>
                <w:szCs w:val="24"/>
              </w:rPr>
              <w:t>Staatsangehörigkeitsbehörde</w:t>
            </w:r>
          </w:p>
          <w:p w:rsidR="00B600F7" w:rsidRPr="00B600F7" w:rsidRDefault="00B600F7">
            <w:pPr>
              <w:rPr>
                <w:sz w:val="24"/>
                <w:szCs w:val="24"/>
              </w:rPr>
            </w:pPr>
            <w:r w:rsidRPr="00B600F7">
              <w:rPr>
                <w:sz w:val="24"/>
                <w:szCs w:val="24"/>
              </w:rPr>
              <w:t>Stresemannstr. 48</w:t>
            </w:r>
          </w:p>
          <w:p w:rsidR="00B600F7" w:rsidRPr="00B600F7" w:rsidRDefault="00B600F7">
            <w:pPr>
              <w:rPr>
                <w:sz w:val="24"/>
                <w:szCs w:val="24"/>
              </w:rPr>
            </w:pPr>
            <w:r w:rsidRPr="00B600F7">
              <w:rPr>
                <w:sz w:val="24"/>
                <w:szCs w:val="24"/>
              </w:rPr>
              <w:t>28207 Bremen</w:t>
            </w:r>
          </w:p>
          <w:p w:rsidR="00B600F7" w:rsidRPr="00B600F7" w:rsidRDefault="00B600F7">
            <w:pPr>
              <w:rPr>
                <w:sz w:val="24"/>
                <w:szCs w:val="24"/>
              </w:rPr>
            </w:pPr>
          </w:p>
          <w:p w:rsidR="00B600F7" w:rsidRPr="00B600F7" w:rsidRDefault="00B600F7">
            <w:pPr>
              <w:rPr>
                <w:sz w:val="24"/>
                <w:szCs w:val="24"/>
              </w:rPr>
            </w:pPr>
            <w:r w:rsidRPr="00B600F7">
              <w:rPr>
                <w:sz w:val="24"/>
                <w:szCs w:val="24"/>
              </w:rPr>
              <w:t>Stadt Bremerhaven</w:t>
            </w:r>
          </w:p>
          <w:p w:rsidR="00B600F7" w:rsidRPr="00B600F7" w:rsidRDefault="00B600F7">
            <w:pPr>
              <w:rPr>
                <w:sz w:val="24"/>
                <w:szCs w:val="24"/>
              </w:rPr>
            </w:pPr>
            <w:r w:rsidRPr="00B600F7">
              <w:rPr>
                <w:sz w:val="24"/>
                <w:szCs w:val="24"/>
              </w:rPr>
              <w:t>Bürger- und Ordnungsamt</w:t>
            </w:r>
          </w:p>
          <w:p w:rsidR="00B600F7" w:rsidRPr="00B600F7" w:rsidRDefault="00B600F7">
            <w:pPr>
              <w:rPr>
                <w:sz w:val="24"/>
                <w:szCs w:val="24"/>
              </w:rPr>
            </w:pPr>
            <w:r w:rsidRPr="00B600F7">
              <w:rPr>
                <w:sz w:val="24"/>
                <w:szCs w:val="24"/>
              </w:rPr>
              <w:t>Hinrich-</w:t>
            </w:r>
            <w:proofErr w:type="spellStart"/>
            <w:r w:rsidRPr="00B600F7">
              <w:rPr>
                <w:sz w:val="24"/>
                <w:szCs w:val="24"/>
              </w:rPr>
              <w:t>Schmalfeldt</w:t>
            </w:r>
            <w:proofErr w:type="spellEnd"/>
            <w:r w:rsidRPr="00B600F7">
              <w:rPr>
                <w:sz w:val="24"/>
                <w:szCs w:val="24"/>
              </w:rPr>
              <w:t>-Straße</w:t>
            </w:r>
          </w:p>
          <w:p w:rsidR="00B600F7" w:rsidRDefault="00B600F7" w:rsidP="00B600F7">
            <w:r w:rsidRPr="00B600F7">
              <w:rPr>
                <w:sz w:val="24"/>
                <w:szCs w:val="24"/>
              </w:rPr>
              <w:t>27576 Bremerhaven</w:t>
            </w:r>
          </w:p>
        </w:tc>
        <w:tc>
          <w:tcPr>
            <w:tcW w:w="2665" w:type="dxa"/>
            <w:gridSpan w:val="2"/>
            <w:tcBorders>
              <w:left w:val="nil"/>
            </w:tcBorders>
          </w:tcPr>
          <w:p w:rsidR="00B31D5A" w:rsidRDefault="00B31D5A">
            <w:pPr>
              <w:pStyle w:val="Fuzeile"/>
              <w:tabs>
                <w:tab w:val="clear" w:pos="4819"/>
                <w:tab w:val="clear" w:pos="9071"/>
              </w:tabs>
              <w:rPr>
                <w:rFonts w:ascii="Arial" w:hAnsi="Arial"/>
              </w:rPr>
            </w:pPr>
          </w:p>
        </w:tc>
        <w:tc>
          <w:tcPr>
            <w:tcW w:w="2764" w:type="dxa"/>
          </w:tcPr>
          <w:p w:rsidR="00B31D5A" w:rsidRDefault="00B31D5A">
            <w:pPr>
              <w:rPr>
                <w:sz w:val="16"/>
              </w:rPr>
            </w:pPr>
            <w:r>
              <w:rPr>
                <w:sz w:val="16"/>
              </w:rPr>
              <w:t>Auskunft erteilt Herr Döhle</w:t>
            </w:r>
          </w:p>
          <w:p w:rsidR="00B31D5A" w:rsidRDefault="00B31D5A">
            <w:pPr>
              <w:rPr>
                <w:sz w:val="16"/>
              </w:rPr>
            </w:pPr>
            <w:r>
              <w:rPr>
                <w:sz w:val="16"/>
              </w:rPr>
              <w:t>Zimmer 323</w:t>
            </w:r>
          </w:p>
          <w:p w:rsidR="00B31D5A" w:rsidRDefault="00B31D5A">
            <w:pPr>
              <w:rPr>
                <w:sz w:val="16"/>
              </w:rPr>
            </w:pPr>
          </w:p>
          <w:p w:rsidR="00B31D5A" w:rsidRDefault="00B31D5A">
            <w:pPr>
              <w:rPr>
                <w:sz w:val="16"/>
              </w:rPr>
            </w:pPr>
            <w:r>
              <w:rPr>
                <w:sz w:val="16"/>
              </w:rPr>
              <w:t>Tel.: 0421/361-9056</w:t>
            </w:r>
          </w:p>
          <w:p w:rsidR="00B31D5A" w:rsidRDefault="00B31D5A">
            <w:pPr>
              <w:rPr>
                <w:sz w:val="16"/>
              </w:rPr>
            </w:pPr>
            <w:r>
              <w:rPr>
                <w:sz w:val="16"/>
              </w:rPr>
              <w:t>Fax: 0421/496-9056</w:t>
            </w:r>
          </w:p>
          <w:p w:rsidR="00B31D5A" w:rsidRDefault="00B31D5A">
            <w:pPr>
              <w:rPr>
                <w:sz w:val="16"/>
              </w:rPr>
            </w:pPr>
          </w:p>
          <w:p w:rsidR="00B31D5A" w:rsidRDefault="00B31D5A">
            <w:pPr>
              <w:rPr>
                <w:sz w:val="16"/>
                <w:lang w:val="it-IT"/>
              </w:rPr>
            </w:pPr>
            <w:r>
              <w:rPr>
                <w:sz w:val="16"/>
                <w:lang w:val="it-IT"/>
              </w:rPr>
              <w:t xml:space="preserve">E-mail: </w:t>
            </w:r>
            <w:r>
              <w:rPr>
                <w:sz w:val="16"/>
                <w:lang w:val="it-IT"/>
              </w:rPr>
              <w:br/>
              <w:t>HDOEHLE@</w:t>
            </w:r>
            <w:bookmarkStart w:id="2" w:name="_Hlt503848434"/>
            <w:r>
              <w:rPr>
                <w:sz w:val="16"/>
                <w:lang w:val="it-IT"/>
              </w:rPr>
              <w:t>I</w:t>
            </w:r>
            <w:bookmarkEnd w:id="2"/>
            <w:r>
              <w:rPr>
                <w:sz w:val="16"/>
                <w:lang w:val="it-IT"/>
              </w:rPr>
              <w:t>nneres.Bremen.de</w:t>
            </w:r>
          </w:p>
          <w:p w:rsidR="00B31D5A" w:rsidRDefault="00B31D5A">
            <w:pPr>
              <w:rPr>
                <w:sz w:val="16"/>
                <w:lang w:val="it-IT"/>
              </w:rPr>
            </w:pPr>
            <w:bookmarkStart w:id="3" w:name="IhrZeichen"/>
            <w:bookmarkEnd w:id="3"/>
          </w:p>
          <w:p w:rsidR="00B31D5A" w:rsidRDefault="00B31D5A">
            <w:pPr>
              <w:rPr>
                <w:sz w:val="16"/>
              </w:rPr>
            </w:pPr>
            <w:r>
              <w:rPr>
                <w:sz w:val="16"/>
              </w:rPr>
              <w:t>Datum und Zeichen</w:t>
            </w:r>
          </w:p>
          <w:p w:rsidR="00B31D5A" w:rsidRDefault="00B31D5A">
            <w:pPr>
              <w:rPr>
                <w:sz w:val="16"/>
              </w:rPr>
            </w:pPr>
            <w:r>
              <w:rPr>
                <w:sz w:val="16"/>
              </w:rPr>
              <w:t>Ihres Schreibens</w:t>
            </w:r>
          </w:p>
          <w:p w:rsidR="00B31D5A" w:rsidRDefault="00B31D5A">
            <w:pPr>
              <w:rPr>
                <w:sz w:val="16"/>
              </w:rPr>
            </w:pPr>
          </w:p>
          <w:p w:rsidR="00B31D5A" w:rsidRDefault="00B31D5A">
            <w:pPr>
              <w:rPr>
                <w:sz w:val="16"/>
              </w:rPr>
            </w:pPr>
          </w:p>
          <w:p w:rsidR="00B31D5A" w:rsidRDefault="00B31D5A">
            <w:pPr>
              <w:rPr>
                <w:sz w:val="16"/>
              </w:rPr>
            </w:pPr>
            <w:r>
              <w:rPr>
                <w:sz w:val="16"/>
              </w:rPr>
              <w:t>Mein Zeichen</w:t>
            </w:r>
          </w:p>
          <w:p w:rsidR="00B31D5A" w:rsidRDefault="00B31D5A">
            <w:pPr>
              <w:rPr>
                <w:sz w:val="16"/>
              </w:rPr>
            </w:pPr>
            <w:r>
              <w:rPr>
                <w:sz w:val="16"/>
              </w:rPr>
              <w:t>(bitte bei Antworten angeben)</w:t>
            </w:r>
          </w:p>
          <w:p w:rsidR="00B31D5A" w:rsidRDefault="00B31D5A">
            <w:pPr>
              <w:rPr>
                <w:sz w:val="16"/>
              </w:rPr>
            </w:pPr>
            <w:r>
              <w:rPr>
                <w:sz w:val="16"/>
              </w:rPr>
              <w:t>21-</w:t>
            </w:r>
            <w:r w:rsidR="00B600F7">
              <w:rPr>
                <w:sz w:val="16"/>
              </w:rPr>
              <w:t>3 (110-30-02/3)</w:t>
            </w:r>
          </w:p>
          <w:p w:rsidR="00B31D5A" w:rsidRDefault="00B31D5A">
            <w:pPr>
              <w:rPr>
                <w:sz w:val="16"/>
              </w:rPr>
            </w:pPr>
          </w:p>
          <w:p w:rsidR="00B31D5A" w:rsidRDefault="00B31D5A">
            <w:pPr>
              <w:rPr>
                <w:sz w:val="16"/>
              </w:rPr>
            </w:pPr>
            <w:r>
              <w:rPr>
                <w:sz w:val="16"/>
              </w:rPr>
              <w:t xml:space="preserve">Bremen, </w:t>
            </w:r>
            <w:bookmarkStart w:id="4" w:name="Datum"/>
            <w:bookmarkEnd w:id="4"/>
            <w:r>
              <w:rPr>
                <w:sz w:val="16"/>
              </w:rPr>
              <w:t xml:space="preserve"> </w:t>
            </w:r>
            <w:r w:rsidR="00F1461E">
              <w:rPr>
                <w:sz w:val="16"/>
              </w:rPr>
              <w:t>20</w:t>
            </w:r>
            <w:r>
              <w:rPr>
                <w:sz w:val="16"/>
              </w:rPr>
              <w:t xml:space="preserve">. </w:t>
            </w:r>
            <w:r w:rsidR="00F64872">
              <w:rPr>
                <w:sz w:val="16"/>
              </w:rPr>
              <w:t>Februar</w:t>
            </w:r>
            <w:r>
              <w:rPr>
                <w:sz w:val="16"/>
              </w:rPr>
              <w:t xml:space="preserve"> 20</w:t>
            </w:r>
            <w:r w:rsidR="00B600F7">
              <w:rPr>
                <w:sz w:val="16"/>
              </w:rPr>
              <w:t>13</w:t>
            </w:r>
          </w:p>
          <w:p w:rsidR="00B31D5A" w:rsidRDefault="00B31D5A">
            <w:pPr>
              <w:rPr>
                <w:sz w:val="16"/>
              </w:rPr>
            </w:pPr>
            <w:r>
              <w:rPr>
                <w:sz w:val="16"/>
              </w:rPr>
              <w:fldChar w:fldCharType="begin"/>
            </w:r>
            <w:r>
              <w:rPr>
                <w:sz w:val="16"/>
              </w:rPr>
              <w:instrText xml:space="preserve">  </w:instrText>
            </w:r>
            <w:r>
              <w:rPr>
                <w:sz w:val="16"/>
              </w:rPr>
              <w:fldChar w:fldCharType="end"/>
            </w:r>
          </w:p>
        </w:tc>
      </w:tr>
    </w:tbl>
    <w:p w:rsidR="00B31D5A" w:rsidRDefault="00B31D5A">
      <w:pPr>
        <w:pStyle w:val="berschrift3"/>
      </w:pPr>
    </w:p>
    <w:p w:rsidR="00B600F7" w:rsidRDefault="00B600F7" w:rsidP="00B600F7"/>
    <w:p w:rsidR="00B600F7" w:rsidRPr="00B600F7" w:rsidRDefault="00B600F7" w:rsidP="00B600F7">
      <w:pPr>
        <w:spacing w:line="320" w:lineRule="atLeast"/>
        <w:rPr>
          <w:b/>
          <w:sz w:val="24"/>
          <w:szCs w:val="24"/>
        </w:rPr>
      </w:pPr>
      <w:r w:rsidRPr="00B600F7">
        <w:rPr>
          <w:b/>
          <w:sz w:val="24"/>
          <w:szCs w:val="24"/>
        </w:rPr>
        <w:t xml:space="preserve">Hinnahme von </w:t>
      </w:r>
      <w:proofErr w:type="spellStart"/>
      <w:r w:rsidRPr="00B600F7">
        <w:rPr>
          <w:b/>
          <w:sz w:val="24"/>
          <w:szCs w:val="24"/>
        </w:rPr>
        <w:t>Mehrstaatigkeit</w:t>
      </w:r>
      <w:proofErr w:type="spellEnd"/>
      <w:r w:rsidRPr="00B600F7">
        <w:rPr>
          <w:b/>
          <w:sz w:val="24"/>
          <w:szCs w:val="24"/>
        </w:rPr>
        <w:t xml:space="preserve"> bei optionspflichtigen Personen nach § 29 StAG</w:t>
      </w:r>
    </w:p>
    <w:p w:rsidR="00B600F7" w:rsidRPr="00B600F7" w:rsidRDefault="00B600F7" w:rsidP="00B600F7">
      <w:pPr>
        <w:spacing w:line="320" w:lineRule="atLeast"/>
        <w:rPr>
          <w:sz w:val="24"/>
          <w:szCs w:val="24"/>
        </w:rPr>
      </w:pPr>
    </w:p>
    <w:p w:rsidR="00B600F7" w:rsidRPr="00B600F7" w:rsidRDefault="00B600F7" w:rsidP="00B600F7">
      <w:pPr>
        <w:spacing w:line="320" w:lineRule="atLeast"/>
        <w:rPr>
          <w:sz w:val="24"/>
          <w:szCs w:val="24"/>
        </w:rPr>
      </w:pPr>
      <w:r w:rsidRPr="00B600F7">
        <w:rPr>
          <w:sz w:val="24"/>
          <w:szCs w:val="24"/>
        </w:rPr>
        <w:t>Im Optionsverfahren nach § 29 StAG ist eine Beibehaltungsgenehmigung zu erteilen, wenn</w:t>
      </w:r>
    </w:p>
    <w:p w:rsidR="00B600F7" w:rsidRPr="00B600F7" w:rsidRDefault="00B600F7" w:rsidP="00B600F7">
      <w:pPr>
        <w:spacing w:line="320" w:lineRule="atLeast"/>
        <w:rPr>
          <w:sz w:val="24"/>
          <w:szCs w:val="24"/>
        </w:rPr>
      </w:pPr>
    </w:p>
    <w:p w:rsidR="00B600F7" w:rsidRPr="00B600F7" w:rsidRDefault="00B600F7" w:rsidP="00B600F7">
      <w:pPr>
        <w:spacing w:line="320" w:lineRule="atLeast"/>
        <w:rPr>
          <w:sz w:val="24"/>
          <w:szCs w:val="24"/>
        </w:rPr>
      </w:pPr>
      <w:r w:rsidRPr="00B600F7">
        <w:rPr>
          <w:sz w:val="24"/>
          <w:szCs w:val="24"/>
        </w:rPr>
        <w:t>•</w:t>
      </w:r>
      <w:r w:rsidRPr="00B600F7">
        <w:rPr>
          <w:sz w:val="24"/>
          <w:szCs w:val="24"/>
        </w:rPr>
        <w:tab/>
        <w:t xml:space="preserve">die Aufgabe oder der Verlust der ausländischen Staatsangehörigkeit nicht möglich </w:t>
      </w:r>
      <w:r>
        <w:rPr>
          <w:sz w:val="24"/>
          <w:szCs w:val="24"/>
        </w:rPr>
        <w:tab/>
      </w:r>
      <w:r w:rsidRPr="00B600F7">
        <w:rPr>
          <w:sz w:val="24"/>
          <w:szCs w:val="24"/>
        </w:rPr>
        <w:t>oder nicht zumutbar ist (§ 29 Abs. 4, 1. Alt.) oder</w:t>
      </w:r>
    </w:p>
    <w:p w:rsidR="00B600F7" w:rsidRDefault="00B600F7" w:rsidP="00B600F7">
      <w:pPr>
        <w:spacing w:line="320" w:lineRule="atLeast"/>
        <w:rPr>
          <w:sz w:val="24"/>
          <w:szCs w:val="24"/>
        </w:rPr>
      </w:pPr>
      <w:r w:rsidRPr="00B600F7">
        <w:rPr>
          <w:sz w:val="24"/>
          <w:szCs w:val="24"/>
        </w:rPr>
        <w:t>•</w:t>
      </w:r>
      <w:r w:rsidRPr="00B600F7">
        <w:rPr>
          <w:sz w:val="24"/>
          <w:szCs w:val="24"/>
        </w:rPr>
        <w:tab/>
        <w:t xml:space="preserve">bei einer Einbürgerung nach § 12 StAG </w:t>
      </w:r>
      <w:proofErr w:type="spellStart"/>
      <w:r w:rsidRPr="00B600F7">
        <w:rPr>
          <w:sz w:val="24"/>
          <w:szCs w:val="24"/>
        </w:rPr>
        <w:t>Mehrstaatigkeit</w:t>
      </w:r>
      <w:proofErr w:type="spellEnd"/>
      <w:r w:rsidRPr="00B600F7">
        <w:rPr>
          <w:sz w:val="24"/>
          <w:szCs w:val="24"/>
        </w:rPr>
        <w:t xml:space="preserve"> hinzunehmen wäre</w:t>
      </w:r>
    </w:p>
    <w:p w:rsidR="00B600F7" w:rsidRPr="00B600F7" w:rsidRDefault="00B600F7" w:rsidP="00B600F7">
      <w:pPr>
        <w:spacing w:line="320" w:lineRule="atLeast"/>
        <w:rPr>
          <w:sz w:val="24"/>
          <w:szCs w:val="24"/>
        </w:rPr>
      </w:pPr>
      <w:r>
        <w:rPr>
          <w:sz w:val="24"/>
          <w:szCs w:val="24"/>
        </w:rPr>
        <w:tab/>
      </w:r>
      <w:r w:rsidRPr="00B600F7">
        <w:rPr>
          <w:sz w:val="24"/>
          <w:szCs w:val="24"/>
        </w:rPr>
        <w:t xml:space="preserve"> (§ 29 Abs. 4, 2. Alt.).</w:t>
      </w:r>
    </w:p>
    <w:p w:rsidR="00B600F7" w:rsidRPr="00B600F7" w:rsidRDefault="00B600F7" w:rsidP="00B600F7">
      <w:pPr>
        <w:spacing w:line="320" w:lineRule="atLeast"/>
        <w:rPr>
          <w:sz w:val="24"/>
          <w:szCs w:val="24"/>
        </w:rPr>
      </w:pPr>
    </w:p>
    <w:p w:rsidR="00B600F7" w:rsidRPr="00B600F7" w:rsidRDefault="00B600F7" w:rsidP="00B600F7">
      <w:pPr>
        <w:spacing w:line="320" w:lineRule="atLeast"/>
        <w:rPr>
          <w:sz w:val="24"/>
          <w:szCs w:val="24"/>
        </w:rPr>
      </w:pPr>
      <w:r w:rsidRPr="00B600F7">
        <w:rPr>
          <w:sz w:val="24"/>
          <w:szCs w:val="24"/>
        </w:rPr>
        <w:t>Die beiden Alternativen stehen selbständig nebeneinander. Die Gründe für die Erteilung e</w:t>
      </w:r>
      <w:r w:rsidRPr="00B600F7">
        <w:rPr>
          <w:sz w:val="24"/>
          <w:szCs w:val="24"/>
        </w:rPr>
        <w:t>i</w:t>
      </w:r>
      <w:r w:rsidRPr="00B600F7">
        <w:rPr>
          <w:sz w:val="24"/>
          <w:szCs w:val="24"/>
        </w:rPr>
        <w:t>ner Beibehaltungsgenehmigung sind weiter zu fassen als solche, die eine Einbürgerung u</w:t>
      </w:r>
      <w:r w:rsidRPr="00B600F7">
        <w:rPr>
          <w:sz w:val="24"/>
          <w:szCs w:val="24"/>
        </w:rPr>
        <w:t>n</w:t>
      </w:r>
      <w:r w:rsidRPr="00B600F7">
        <w:rPr>
          <w:sz w:val="24"/>
          <w:szCs w:val="24"/>
        </w:rPr>
        <w:t xml:space="preserve">ter Hinnahme von </w:t>
      </w:r>
      <w:proofErr w:type="spellStart"/>
      <w:r w:rsidRPr="00B600F7">
        <w:rPr>
          <w:sz w:val="24"/>
          <w:szCs w:val="24"/>
        </w:rPr>
        <w:t>Mehrstaatigkeit</w:t>
      </w:r>
      <w:proofErr w:type="spellEnd"/>
      <w:r w:rsidRPr="00B600F7">
        <w:rPr>
          <w:sz w:val="24"/>
          <w:szCs w:val="24"/>
        </w:rPr>
        <w:t xml:space="preserve"> möglich machen. Der Begriff der Unzumutbarkeit nach § 29 Abs. 4 StAG ist inhaltlich mit dem Begriff in § 12 StAG nicht identisch. Während bei der Einbürgerung der Antragsteller erst die deutsche Staatsangehörigkeit bei Beibehaltung der bestehenden Staatsangehörigkeit zu erwerben beabsichtigt, besitzt die optionspflichtige Per</w:t>
      </w:r>
      <w:r w:rsidR="00F1461E">
        <w:rPr>
          <w:sz w:val="24"/>
          <w:szCs w:val="24"/>
        </w:rPr>
        <w:softHyphen/>
      </w:r>
      <w:r w:rsidRPr="00B600F7">
        <w:rPr>
          <w:sz w:val="24"/>
          <w:szCs w:val="24"/>
        </w:rPr>
        <w:t>son bereits die deutsche Staatsangehörigkeit. So sind neben den Gründen für eine Hin</w:t>
      </w:r>
      <w:r w:rsidR="00F1461E">
        <w:rPr>
          <w:sz w:val="24"/>
          <w:szCs w:val="24"/>
        </w:rPr>
        <w:softHyphen/>
      </w:r>
      <w:r w:rsidRPr="00B600F7">
        <w:rPr>
          <w:sz w:val="24"/>
          <w:szCs w:val="24"/>
        </w:rPr>
        <w:t xml:space="preserve">nahme von </w:t>
      </w:r>
      <w:proofErr w:type="spellStart"/>
      <w:r w:rsidRPr="00B600F7">
        <w:rPr>
          <w:sz w:val="24"/>
          <w:szCs w:val="24"/>
        </w:rPr>
        <w:t>Mehrstaatigkeit</w:t>
      </w:r>
      <w:proofErr w:type="spellEnd"/>
      <w:r w:rsidRPr="00B600F7">
        <w:rPr>
          <w:sz w:val="24"/>
          <w:szCs w:val="24"/>
        </w:rPr>
        <w:t xml:space="preserve"> nach § 12 StAG auch Gründe zu berücksichtigen, die die Durc</w:t>
      </w:r>
      <w:r w:rsidRPr="00B600F7">
        <w:rPr>
          <w:sz w:val="24"/>
          <w:szCs w:val="24"/>
        </w:rPr>
        <w:t>h</w:t>
      </w:r>
      <w:r w:rsidRPr="00B600F7">
        <w:rPr>
          <w:sz w:val="24"/>
          <w:szCs w:val="24"/>
        </w:rPr>
        <w:t>führung eines Verzichts- oder Entlassungsverfahrens für einen bereits deutschen Staatsa</w:t>
      </w:r>
      <w:r w:rsidRPr="00B600F7">
        <w:rPr>
          <w:sz w:val="24"/>
          <w:szCs w:val="24"/>
        </w:rPr>
        <w:t>n</w:t>
      </w:r>
      <w:r w:rsidRPr="00B600F7">
        <w:rPr>
          <w:sz w:val="24"/>
          <w:szCs w:val="24"/>
        </w:rPr>
        <w:t>gehörigen als unzumutbar erscheinen lassen. Bei der Prüfung der Unzumutbarkeit ist de</w:t>
      </w:r>
      <w:r w:rsidRPr="00B600F7">
        <w:rPr>
          <w:sz w:val="24"/>
          <w:szCs w:val="24"/>
        </w:rPr>
        <w:t>m</w:t>
      </w:r>
      <w:r w:rsidRPr="00B600F7">
        <w:rPr>
          <w:sz w:val="24"/>
          <w:szCs w:val="24"/>
        </w:rPr>
        <w:t xml:space="preserve">zufolge ein großzügiger Maßstab anzulegen. Auch in den Fällen des § 12 Abs. 1 Satz 2 Nr. 1 bis 5 StAG können die Voraussetzungen für eine Hinnahme von </w:t>
      </w:r>
      <w:proofErr w:type="spellStart"/>
      <w:r w:rsidRPr="00B600F7">
        <w:rPr>
          <w:sz w:val="24"/>
          <w:szCs w:val="24"/>
        </w:rPr>
        <w:t>Mehrstaatigkeit</w:t>
      </w:r>
      <w:proofErr w:type="spellEnd"/>
      <w:r w:rsidRPr="00B600F7">
        <w:rPr>
          <w:sz w:val="24"/>
          <w:szCs w:val="24"/>
        </w:rPr>
        <w:t xml:space="preserve"> abgesenkt werden.</w:t>
      </w:r>
    </w:p>
    <w:p w:rsidR="00B600F7" w:rsidRPr="00B600F7" w:rsidRDefault="00B600F7" w:rsidP="00B600F7">
      <w:pPr>
        <w:spacing w:line="320" w:lineRule="atLeast"/>
        <w:rPr>
          <w:sz w:val="24"/>
          <w:szCs w:val="24"/>
        </w:rPr>
      </w:pPr>
    </w:p>
    <w:p w:rsidR="00B600F7" w:rsidRDefault="00B600F7" w:rsidP="00B600F7">
      <w:pPr>
        <w:spacing w:line="320" w:lineRule="atLeast"/>
        <w:rPr>
          <w:sz w:val="24"/>
          <w:szCs w:val="24"/>
        </w:rPr>
      </w:pPr>
      <w:r w:rsidRPr="00B600F7">
        <w:rPr>
          <w:sz w:val="24"/>
          <w:szCs w:val="24"/>
        </w:rPr>
        <w:t>Von einer Unzumutbarkeit im Sinne des § 29 Abs. 4 StAG ist im Regelfall u.a. bereits dann auszugehen, wenn</w:t>
      </w:r>
    </w:p>
    <w:p w:rsidR="00F1461E" w:rsidRPr="00B600F7" w:rsidRDefault="00F1461E" w:rsidP="00B600F7">
      <w:pPr>
        <w:spacing w:line="320" w:lineRule="atLeast"/>
        <w:rPr>
          <w:sz w:val="24"/>
          <w:szCs w:val="24"/>
        </w:rPr>
      </w:pPr>
    </w:p>
    <w:p w:rsidR="00F1461E" w:rsidRDefault="00B600F7" w:rsidP="00B600F7">
      <w:pPr>
        <w:spacing w:line="320" w:lineRule="atLeast"/>
        <w:rPr>
          <w:sz w:val="24"/>
          <w:szCs w:val="24"/>
        </w:rPr>
      </w:pPr>
      <w:r w:rsidRPr="00B600F7">
        <w:rPr>
          <w:sz w:val="24"/>
          <w:szCs w:val="24"/>
        </w:rPr>
        <w:t>a)</w:t>
      </w:r>
      <w:r w:rsidRPr="00B600F7">
        <w:rPr>
          <w:sz w:val="24"/>
          <w:szCs w:val="24"/>
        </w:rPr>
        <w:tab/>
      </w:r>
      <w:r w:rsidR="00F1461E" w:rsidRPr="00F1461E">
        <w:rPr>
          <w:sz w:val="24"/>
          <w:szCs w:val="24"/>
        </w:rPr>
        <w:t xml:space="preserve">die optionspflichtige Person bei den Behörden des ausländischen Staates, deren </w:t>
      </w:r>
      <w:r w:rsidR="00F1461E" w:rsidRPr="00F1461E">
        <w:rPr>
          <w:sz w:val="24"/>
          <w:szCs w:val="24"/>
        </w:rPr>
        <w:tab/>
        <w:t>Staatsangehörigkeit sie besitzt, nicht registriert ist</w:t>
      </w:r>
      <w:r w:rsidR="00F1461E">
        <w:rPr>
          <w:sz w:val="24"/>
          <w:szCs w:val="24"/>
        </w:rPr>
        <w:t>,</w:t>
      </w:r>
      <w:r w:rsidR="00F1461E" w:rsidRPr="00F1461E">
        <w:rPr>
          <w:sz w:val="24"/>
          <w:szCs w:val="24"/>
        </w:rPr>
        <w:tab/>
      </w:r>
    </w:p>
    <w:p w:rsidR="00F1461E" w:rsidRDefault="00F1461E" w:rsidP="00B600F7">
      <w:pPr>
        <w:spacing w:line="320" w:lineRule="atLeast"/>
        <w:rPr>
          <w:sz w:val="24"/>
          <w:szCs w:val="24"/>
        </w:rPr>
      </w:pPr>
    </w:p>
    <w:p w:rsidR="00F1461E" w:rsidRDefault="00B600F7" w:rsidP="00B600F7">
      <w:pPr>
        <w:spacing w:line="320" w:lineRule="atLeast"/>
        <w:rPr>
          <w:sz w:val="24"/>
          <w:szCs w:val="24"/>
        </w:rPr>
      </w:pPr>
      <w:r w:rsidRPr="00B600F7">
        <w:rPr>
          <w:sz w:val="24"/>
          <w:szCs w:val="24"/>
        </w:rPr>
        <w:t>b)</w:t>
      </w:r>
      <w:r w:rsidRPr="00B600F7">
        <w:rPr>
          <w:sz w:val="24"/>
          <w:szCs w:val="24"/>
        </w:rPr>
        <w:tab/>
        <w:t>die Einleitung und Durchführung des Entlassungs- oder Verzichtsverfahrens eine</w:t>
      </w:r>
    </w:p>
    <w:p w:rsidR="00B600F7" w:rsidRDefault="00F1461E" w:rsidP="00B600F7">
      <w:pPr>
        <w:spacing w:line="320" w:lineRule="atLeast"/>
        <w:rPr>
          <w:sz w:val="24"/>
          <w:szCs w:val="24"/>
        </w:rPr>
      </w:pPr>
      <w:r>
        <w:rPr>
          <w:sz w:val="24"/>
          <w:szCs w:val="24"/>
        </w:rPr>
        <w:tab/>
      </w:r>
      <w:r w:rsidR="00B600F7" w:rsidRPr="00B600F7">
        <w:rPr>
          <w:sz w:val="24"/>
          <w:szCs w:val="24"/>
        </w:rPr>
        <w:t xml:space="preserve"> Reise in den Herkunftsstaat und die persönliche Vorsprache bei den dortigen </w:t>
      </w:r>
      <w:proofErr w:type="spellStart"/>
      <w:r w:rsidR="00B600F7" w:rsidRPr="00B600F7">
        <w:rPr>
          <w:sz w:val="24"/>
          <w:szCs w:val="24"/>
        </w:rPr>
        <w:t>zustän</w:t>
      </w:r>
      <w:proofErr w:type="spellEnd"/>
      <w:r>
        <w:rPr>
          <w:sz w:val="24"/>
          <w:szCs w:val="24"/>
        </w:rPr>
        <w:t>-</w:t>
      </w:r>
      <w:proofErr w:type="gramStart"/>
      <w:r>
        <w:rPr>
          <w:sz w:val="24"/>
          <w:szCs w:val="24"/>
        </w:rPr>
        <w:tab/>
      </w:r>
      <w:r w:rsidR="00B600F7" w:rsidRPr="00B600F7">
        <w:rPr>
          <w:sz w:val="24"/>
          <w:szCs w:val="24"/>
        </w:rPr>
        <w:t xml:space="preserve">digen </w:t>
      </w:r>
      <w:proofErr w:type="gramEnd"/>
      <w:r w:rsidR="00B600F7">
        <w:rPr>
          <w:sz w:val="24"/>
          <w:szCs w:val="24"/>
        </w:rPr>
        <w:tab/>
      </w:r>
      <w:r w:rsidR="00B600F7" w:rsidRPr="00B600F7">
        <w:rPr>
          <w:sz w:val="24"/>
          <w:szCs w:val="24"/>
        </w:rPr>
        <w:t>Behörden verlangt,</w:t>
      </w:r>
    </w:p>
    <w:p w:rsidR="00F1461E" w:rsidRDefault="00F1461E" w:rsidP="00B600F7">
      <w:pPr>
        <w:spacing w:line="320" w:lineRule="atLeast"/>
        <w:rPr>
          <w:sz w:val="24"/>
          <w:szCs w:val="24"/>
        </w:rPr>
      </w:pPr>
    </w:p>
    <w:p w:rsidR="00F1461E" w:rsidRDefault="00F1461E" w:rsidP="00B600F7">
      <w:pPr>
        <w:spacing w:line="320" w:lineRule="atLeast"/>
        <w:rPr>
          <w:sz w:val="24"/>
          <w:szCs w:val="24"/>
        </w:rPr>
      </w:pPr>
      <w:r>
        <w:rPr>
          <w:sz w:val="24"/>
          <w:szCs w:val="24"/>
        </w:rPr>
        <w:t>c)</w:t>
      </w:r>
      <w:r>
        <w:rPr>
          <w:sz w:val="24"/>
          <w:szCs w:val="24"/>
        </w:rPr>
        <w:tab/>
      </w:r>
      <w:r w:rsidRPr="00F1461E">
        <w:rPr>
          <w:sz w:val="24"/>
          <w:szCs w:val="24"/>
        </w:rPr>
        <w:t>der Verlust der ausländischen Staatsangehörigkeit von der Ableistung des Militär-</w:t>
      </w:r>
      <w:r w:rsidRPr="00F1461E">
        <w:rPr>
          <w:sz w:val="24"/>
          <w:szCs w:val="24"/>
        </w:rPr>
        <w:tab/>
      </w:r>
      <w:proofErr w:type="spellStart"/>
      <w:r w:rsidRPr="00F1461E">
        <w:rPr>
          <w:sz w:val="24"/>
          <w:szCs w:val="24"/>
        </w:rPr>
        <w:t>dienstes</w:t>
      </w:r>
      <w:proofErr w:type="spellEnd"/>
      <w:r w:rsidRPr="00F1461E">
        <w:rPr>
          <w:sz w:val="24"/>
          <w:szCs w:val="24"/>
        </w:rPr>
        <w:t xml:space="preserve"> </w:t>
      </w:r>
      <w:r>
        <w:rPr>
          <w:sz w:val="24"/>
          <w:szCs w:val="24"/>
        </w:rPr>
        <w:t xml:space="preserve">oder einem Freikauf </w:t>
      </w:r>
      <w:r w:rsidRPr="00F1461E">
        <w:rPr>
          <w:sz w:val="24"/>
          <w:szCs w:val="24"/>
        </w:rPr>
        <w:t>abhängig ist,</w:t>
      </w:r>
    </w:p>
    <w:p w:rsidR="00F1461E" w:rsidRDefault="00F1461E" w:rsidP="00B600F7">
      <w:pPr>
        <w:spacing w:line="320" w:lineRule="atLeast"/>
        <w:rPr>
          <w:sz w:val="24"/>
          <w:szCs w:val="24"/>
        </w:rPr>
      </w:pPr>
    </w:p>
    <w:p w:rsidR="00F1461E" w:rsidRDefault="00F1461E" w:rsidP="00B600F7">
      <w:pPr>
        <w:spacing w:line="320" w:lineRule="atLeast"/>
        <w:rPr>
          <w:sz w:val="24"/>
          <w:szCs w:val="24"/>
        </w:rPr>
      </w:pPr>
      <w:r>
        <w:rPr>
          <w:sz w:val="24"/>
          <w:szCs w:val="24"/>
        </w:rPr>
        <w:t>d)</w:t>
      </w:r>
      <w:r>
        <w:rPr>
          <w:sz w:val="24"/>
          <w:szCs w:val="24"/>
        </w:rPr>
        <w:tab/>
      </w:r>
      <w:r w:rsidRPr="00F1461E">
        <w:rPr>
          <w:sz w:val="24"/>
          <w:szCs w:val="24"/>
        </w:rPr>
        <w:t xml:space="preserve">die zu zahlenden  Gebühren für das Entlassungs- oder Verzichtsverfahren den Betrag </w:t>
      </w:r>
      <w:r w:rsidRPr="00F1461E">
        <w:rPr>
          <w:sz w:val="24"/>
          <w:szCs w:val="24"/>
        </w:rPr>
        <w:tab/>
        <w:t>von € 640</w:t>
      </w:r>
      <w:r>
        <w:rPr>
          <w:sz w:val="24"/>
          <w:szCs w:val="24"/>
        </w:rPr>
        <w:t>,--</w:t>
      </w:r>
      <w:r w:rsidRPr="00F1461E">
        <w:rPr>
          <w:sz w:val="24"/>
          <w:szCs w:val="24"/>
        </w:rPr>
        <w:t xml:space="preserve"> übersteigen,</w:t>
      </w:r>
    </w:p>
    <w:p w:rsidR="00F1461E" w:rsidRPr="00B600F7" w:rsidRDefault="00F1461E" w:rsidP="00B600F7">
      <w:pPr>
        <w:spacing w:line="320" w:lineRule="atLeast"/>
        <w:rPr>
          <w:sz w:val="24"/>
          <w:szCs w:val="24"/>
        </w:rPr>
      </w:pPr>
    </w:p>
    <w:p w:rsidR="00B600F7" w:rsidRDefault="00F1461E" w:rsidP="00B600F7">
      <w:pPr>
        <w:spacing w:line="320" w:lineRule="atLeast"/>
        <w:rPr>
          <w:sz w:val="24"/>
          <w:szCs w:val="24"/>
        </w:rPr>
      </w:pPr>
      <w:r>
        <w:rPr>
          <w:sz w:val="24"/>
          <w:szCs w:val="24"/>
        </w:rPr>
        <w:t>e</w:t>
      </w:r>
      <w:r w:rsidR="00B600F7" w:rsidRPr="00B600F7">
        <w:rPr>
          <w:sz w:val="24"/>
          <w:szCs w:val="24"/>
        </w:rPr>
        <w:t>)</w:t>
      </w:r>
      <w:r w:rsidR="00B600F7" w:rsidRPr="00B600F7">
        <w:rPr>
          <w:sz w:val="24"/>
          <w:szCs w:val="24"/>
        </w:rPr>
        <w:tab/>
        <w:t>der Verlust der ausländischen Staatsangehörigkeit aus von der optionspflichtigen Per</w:t>
      </w:r>
      <w:r w:rsidR="00B600F7">
        <w:rPr>
          <w:sz w:val="24"/>
          <w:szCs w:val="24"/>
        </w:rPr>
        <w:t>-</w:t>
      </w:r>
      <w:r w:rsidR="00B600F7">
        <w:rPr>
          <w:sz w:val="24"/>
          <w:szCs w:val="24"/>
        </w:rPr>
        <w:tab/>
      </w:r>
      <w:proofErr w:type="spellStart"/>
      <w:r w:rsidR="00B600F7" w:rsidRPr="00B600F7">
        <w:rPr>
          <w:sz w:val="24"/>
          <w:szCs w:val="24"/>
        </w:rPr>
        <w:t>son</w:t>
      </w:r>
      <w:proofErr w:type="spellEnd"/>
      <w:r w:rsidR="00B600F7" w:rsidRPr="00B600F7">
        <w:rPr>
          <w:sz w:val="24"/>
          <w:szCs w:val="24"/>
        </w:rPr>
        <w:t xml:space="preserve">  nicht zu vertretenden Gründen innerhalb eines Jahres nach Stellung eines </w:t>
      </w:r>
      <w:proofErr w:type="spellStart"/>
      <w:r w:rsidR="00B600F7" w:rsidRPr="00B600F7">
        <w:rPr>
          <w:sz w:val="24"/>
          <w:szCs w:val="24"/>
        </w:rPr>
        <w:t>Ver</w:t>
      </w:r>
      <w:proofErr w:type="spellEnd"/>
      <w:r w:rsidR="00B600F7">
        <w:rPr>
          <w:sz w:val="24"/>
          <w:szCs w:val="24"/>
        </w:rPr>
        <w:t>-</w:t>
      </w:r>
      <w:r w:rsidR="00B600F7">
        <w:rPr>
          <w:sz w:val="24"/>
          <w:szCs w:val="24"/>
        </w:rPr>
        <w:tab/>
      </w:r>
      <w:proofErr w:type="spellStart"/>
      <w:r w:rsidR="00B600F7" w:rsidRPr="00B600F7">
        <w:rPr>
          <w:sz w:val="24"/>
          <w:szCs w:val="24"/>
        </w:rPr>
        <w:t>zichts</w:t>
      </w:r>
      <w:proofErr w:type="spellEnd"/>
      <w:r w:rsidR="00B600F7" w:rsidRPr="00B600F7">
        <w:rPr>
          <w:sz w:val="24"/>
          <w:szCs w:val="24"/>
        </w:rPr>
        <w:t>- oder Entlassungsantrages nicht nachgewiesen werden kann,</w:t>
      </w:r>
    </w:p>
    <w:p w:rsidR="00F1461E" w:rsidRPr="00B600F7" w:rsidRDefault="00F1461E" w:rsidP="00B600F7">
      <w:pPr>
        <w:spacing w:line="320" w:lineRule="atLeast"/>
        <w:rPr>
          <w:sz w:val="24"/>
          <w:szCs w:val="24"/>
        </w:rPr>
      </w:pPr>
    </w:p>
    <w:p w:rsidR="00F1461E" w:rsidRDefault="00F1461E" w:rsidP="00B600F7">
      <w:pPr>
        <w:spacing w:line="320" w:lineRule="atLeast"/>
        <w:rPr>
          <w:sz w:val="24"/>
          <w:szCs w:val="24"/>
        </w:rPr>
      </w:pPr>
      <w:r>
        <w:rPr>
          <w:sz w:val="24"/>
          <w:szCs w:val="24"/>
        </w:rPr>
        <w:t>f)</w:t>
      </w:r>
      <w:r w:rsidR="00B600F7" w:rsidRPr="00B600F7">
        <w:rPr>
          <w:sz w:val="24"/>
          <w:szCs w:val="24"/>
        </w:rPr>
        <w:tab/>
        <w:t xml:space="preserve">die optionspflichtige Person Elternteil eines Kindes mit deutscher Staatsangehörigkeit </w:t>
      </w:r>
      <w:r w:rsidR="00B600F7">
        <w:rPr>
          <w:sz w:val="24"/>
          <w:szCs w:val="24"/>
        </w:rPr>
        <w:tab/>
      </w:r>
      <w:r w:rsidR="00B600F7" w:rsidRPr="00B600F7">
        <w:rPr>
          <w:sz w:val="24"/>
          <w:szCs w:val="24"/>
        </w:rPr>
        <w:t>ist und hierfür das Sorgerecht besitzt</w:t>
      </w:r>
      <w:r>
        <w:rPr>
          <w:sz w:val="24"/>
          <w:szCs w:val="24"/>
        </w:rPr>
        <w:t xml:space="preserve"> oder</w:t>
      </w:r>
    </w:p>
    <w:p w:rsidR="00F1461E" w:rsidRDefault="00F1461E" w:rsidP="00B600F7">
      <w:pPr>
        <w:spacing w:line="320" w:lineRule="atLeast"/>
        <w:rPr>
          <w:sz w:val="24"/>
          <w:szCs w:val="24"/>
        </w:rPr>
      </w:pPr>
    </w:p>
    <w:p w:rsidR="00B600F7" w:rsidRDefault="00F1461E" w:rsidP="00B600F7">
      <w:pPr>
        <w:spacing w:line="320" w:lineRule="atLeast"/>
        <w:rPr>
          <w:sz w:val="24"/>
          <w:szCs w:val="24"/>
        </w:rPr>
      </w:pPr>
      <w:r>
        <w:rPr>
          <w:sz w:val="24"/>
          <w:szCs w:val="24"/>
        </w:rPr>
        <w:t xml:space="preserve">g) </w:t>
      </w:r>
      <w:r>
        <w:rPr>
          <w:sz w:val="24"/>
          <w:szCs w:val="24"/>
        </w:rPr>
        <w:tab/>
      </w:r>
      <w:r w:rsidR="00F64872">
        <w:rPr>
          <w:sz w:val="24"/>
          <w:szCs w:val="24"/>
        </w:rPr>
        <w:t>ehemals als Asylberechtigter anerkannt war</w:t>
      </w:r>
      <w:r>
        <w:rPr>
          <w:sz w:val="24"/>
          <w:szCs w:val="24"/>
        </w:rPr>
        <w:t>.</w:t>
      </w:r>
    </w:p>
    <w:p w:rsidR="00B600F7" w:rsidRDefault="00B600F7" w:rsidP="00B600F7">
      <w:pPr>
        <w:spacing w:line="320" w:lineRule="atLeast"/>
        <w:rPr>
          <w:sz w:val="24"/>
          <w:szCs w:val="24"/>
        </w:rPr>
      </w:pPr>
    </w:p>
    <w:p w:rsidR="00F1461E" w:rsidRPr="00B600F7" w:rsidRDefault="00F1461E" w:rsidP="00B600F7">
      <w:pPr>
        <w:spacing w:line="320" w:lineRule="atLeast"/>
        <w:rPr>
          <w:sz w:val="24"/>
          <w:szCs w:val="24"/>
        </w:rPr>
      </w:pPr>
    </w:p>
    <w:p w:rsidR="00B600F7" w:rsidRPr="00B600F7" w:rsidRDefault="00B600F7" w:rsidP="00B600F7">
      <w:pPr>
        <w:spacing w:line="320" w:lineRule="atLeast"/>
        <w:rPr>
          <w:sz w:val="24"/>
          <w:szCs w:val="24"/>
        </w:rPr>
      </w:pPr>
      <w:r w:rsidRPr="00B600F7">
        <w:rPr>
          <w:sz w:val="24"/>
          <w:szCs w:val="24"/>
        </w:rPr>
        <w:t>Optionspflichtigen Personen, die für die deutsche Staatsangehörigkeit optiert haben, bitte ich zudem vorsorglich die Stellung eines Beibehaltungsantrages zu empfehlen, wenn zweifelhaft ist, dass der Verlust der ausländischen Staatsangehörigkeit rechtzeitig vor Vollendung des 23. Lebensjahres herbeigeführt bzw. Zweifel bestehen, ob der Verlust der ausländischen Staatsangehörigkeit zu zumutbaren Bedingungen herbeigeführt werden kann.</w:t>
      </w:r>
    </w:p>
    <w:p w:rsidR="00B600F7" w:rsidRPr="00B600F7" w:rsidRDefault="00B600F7" w:rsidP="00B600F7">
      <w:pPr>
        <w:spacing w:line="320" w:lineRule="atLeast"/>
        <w:rPr>
          <w:sz w:val="24"/>
          <w:szCs w:val="24"/>
        </w:rPr>
      </w:pPr>
    </w:p>
    <w:p w:rsidR="00B600F7" w:rsidRPr="00B600F7" w:rsidRDefault="00B600F7" w:rsidP="00B600F7">
      <w:pPr>
        <w:spacing w:line="320" w:lineRule="atLeast"/>
        <w:rPr>
          <w:sz w:val="24"/>
          <w:szCs w:val="24"/>
        </w:rPr>
      </w:pPr>
      <w:r w:rsidRPr="00B600F7">
        <w:rPr>
          <w:sz w:val="24"/>
          <w:szCs w:val="24"/>
        </w:rPr>
        <w:t xml:space="preserve">Sollte der Verlust der deutschen Staatsangehörigkeit gegen den eigentlichen Willen der </w:t>
      </w:r>
      <w:proofErr w:type="spellStart"/>
      <w:r w:rsidRPr="00B600F7">
        <w:rPr>
          <w:sz w:val="24"/>
          <w:szCs w:val="24"/>
        </w:rPr>
        <w:t>opti</w:t>
      </w:r>
      <w:r w:rsidR="00F1461E">
        <w:rPr>
          <w:sz w:val="24"/>
          <w:szCs w:val="24"/>
        </w:rPr>
        <w:softHyphen/>
      </w:r>
      <w:r w:rsidRPr="00B600F7">
        <w:rPr>
          <w:sz w:val="24"/>
          <w:szCs w:val="24"/>
        </w:rPr>
        <w:t>onspflichtigen</w:t>
      </w:r>
      <w:proofErr w:type="spellEnd"/>
      <w:r w:rsidRPr="00B600F7">
        <w:rPr>
          <w:sz w:val="24"/>
          <w:szCs w:val="24"/>
        </w:rPr>
        <w:t xml:space="preserve"> Person  eintreten, weil dieser sich nicht rechtzeitig um den Verlust der auslän</w:t>
      </w:r>
      <w:r w:rsidR="00F1461E">
        <w:rPr>
          <w:sz w:val="24"/>
          <w:szCs w:val="24"/>
        </w:rPr>
        <w:softHyphen/>
      </w:r>
      <w:r w:rsidRPr="00B600F7">
        <w:rPr>
          <w:sz w:val="24"/>
          <w:szCs w:val="24"/>
        </w:rPr>
        <w:t>dischen Staatsangehörigkeit bemüht hat oder keine Beibehaltungsgenehmigung erteilt wu</w:t>
      </w:r>
      <w:r w:rsidRPr="00B600F7">
        <w:rPr>
          <w:sz w:val="24"/>
          <w:szCs w:val="24"/>
        </w:rPr>
        <w:t>r</w:t>
      </w:r>
      <w:r w:rsidRPr="00B600F7">
        <w:rPr>
          <w:sz w:val="24"/>
          <w:szCs w:val="24"/>
        </w:rPr>
        <w:t xml:space="preserve">de, obwohl die Voraussetzungen für die Beibehaltung der deutschen Staatsangehörigkeit vorliegen, bitte ich die Einbürgerung unter Berücksichtigung der für ehemalige deutsche Staatsangehörige bestehenden Erleichterungen unbürokratisch zu vollziehen.     </w:t>
      </w:r>
    </w:p>
    <w:p w:rsidR="00B31D5A" w:rsidRPr="00B600F7" w:rsidRDefault="00B31D5A" w:rsidP="00B600F7">
      <w:pPr>
        <w:spacing w:line="320" w:lineRule="atLeast"/>
        <w:rPr>
          <w:sz w:val="24"/>
          <w:szCs w:val="24"/>
        </w:rPr>
      </w:pPr>
    </w:p>
    <w:p w:rsidR="00B31D5A" w:rsidRPr="00B600F7" w:rsidRDefault="00B31D5A" w:rsidP="00B600F7">
      <w:pPr>
        <w:spacing w:line="320" w:lineRule="atLeast"/>
        <w:rPr>
          <w:sz w:val="24"/>
          <w:szCs w:val="24"/>
        </w:rPr>
      </w:pPr>
      <w:r w:rsidRPr="00B600F7">
        <w:rPr>
          <w:sz w:val="24"/>
          <w:szCs w:val="24"/>
        </w:rPr>
        <w:t>Im Auftrag</w:t>
      </w:r>
    </w:p>
    <w:p w:rsidR="00B31D5A" w:rsidRPr="00B600F7" w:rsidRDefault="005E3F16" w:rsidP="00B600F7">
      <w:pPr>
        <w:spacing w:line="320" w:lineRule="atLeast"/>
        <w:rPr>
          <w:sz w:val="24"/>
          <w:szCs w:val="24"/>
        </w:rPr>
      </w:pPr>
      <w:r>
        <w:rPr>
          <w:sz w:val="24"/>
          <w:szCs w:val="24"/>
        </w:rPr>
        <w:t>gez.</w:t>
      </w:r>
    </w:p>
    <w:p w:rsidR="00B31D5A" w:rsidRPr="00B600F7" w:rsidRDefault="00B600F7" w:rsidP="00B600F7">
      <w:pPr>
        <w:spacing w:line="320" w:lineRule="atLeast"/>
        <w:rPr>
          <w:sz w:val="24"/>
          <w:szCs w:val="24"/>
        </w:rPr>
      </w:pPr>
      <w:r>
        <w:rPr>
          <w:sz w:val="24"/>
          <w:szCs w:val="24"/>
        </w:rPr>
        <w:t>Pape-Post</w:t>
      </w:r>
    </w:p>
    <w:sectPr w:rsidR="00B31D5A" w:rsidRPr="00B600F7">
      <w:headerReference w:type="even" r:id="rId8"/>
      <w:headerReference w:type="default" r:id="rId9"/>
      <w:footerReference w:type="even" r:id="rId10"/>
      <w:footerReference w:type="default" r:id="rId11"/>
      <w:headerReference w:type="first" r:id="rId12"/>
      <w:footerReference w:type="first" r:id="rId13"/>
      <w:type w:val="continuous"/>
      <w:pgSz w:w="11906" w:h="16838"/>
      <w:pgMar w:top="1247" w:right="737" w:bottom="1134" w:left="1276" w:header="567"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23" w:rsidRDefault="00435F23">
      <w:r>
        <w:separator/>
      </w:r>
    </w:p>
  </w:endnote>
  <w:endnote w:type="continuationSeparator" w:id="0">
    <w:p w:rsidR="00435F23" w:rsidRDefault="0043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84" w:rsidRDefault="003508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84" w:rsidRDefault="0035088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D5A" w:rsidRDefault="00F64872">
    <w:pPr>
      <w:pStyle w:val="Textkrper2"/>
      <w:tabs>
        <w:tab w:val="clear" w:pos="5103"/>
        <w:tab w:val="clear" w:pos="6804"/>
        <w:tab w:val="clear" w:pos="8505"/>
        <w:tab w:val="left" w:pos="4820"/>
        <w:tab w:val="left" w:pos="6096"/>
      </w:tabs>
    </w:pPr>
    <w:r>
      <w:rPr>
        <w:noProof/>
        <w:lang w:eastAsia="zh-CN"/>
      </w:rPr>
      <w:drawing>
        <wp:anchor distT="0" distB="0" distL="114300" distR="114300" simplePos="0" relativeHeight="251660800" behindDoc="0" locked="0" layoutInCell="0" allowOverlap="1">
          <wp:simplePos x="0" y="0"/>
          <wp:positionH relativeFrom="column">
            <wp:posOffset>1932940</wp:posOffset>
          </wp:positionH>
          <wp:positionV relativeFrom="paragraph">
            <wp:posOffset>110490</wp:posOffset>
          </wp:positionV>
          <wp:extent cx="179705" cy="179705"/>
          <wp:effectExtent l="0" t="0" r="0" b="0"/>
          <wp:wrapTopAndBottom/>
          <wp:docPr id="17" name="Bild 17" descr="haltest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lteste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776" behindDoc="0" locked="0" layoutInCell="0" allowOverlap="1">
          <wp:simplePos x="0" y="0"/>
          <wp:positionH relativeFrom="column">
            <wp:posOffset>911225</wp:posOffset>
          </wp:positionH>
          <wp:positionV relativeFrom="paragraph">
            <wp:posOffset>110490</wp:posOffset>
          </wp:positionV>
          <wp:extent cx="140335" cy="179705"/>
          <wp:effectExtent l="0" t="0" r="0" b="0"/>
          <wp:wrapTopAndBottom/>
          <wp:docPr id="16" name="Bild 16" descr="pa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r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3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6704" behindDoc="0" locked="0" layoutInCell="0" allowOverlap="1">
          <wp:simplePos x="0" y="0"/>
          <wp:positionH relativeFrom="column">
            <wp:posOffset>6350</wp:posOffset>
          </wp:positionH>
          <wp:positionV relativeFrom="paragraph">
            <wp:posOffset>107315</wp:posOffset>
          </wp:positionV>
          <wp:extent cx="150495" cy="169545"/>
          <wp:effectExtent l="0" t="0" r="1905" b="1905"/>
          <wp:wrapSquare wrapText="right"/>
          <wp:docPr id="13" name="Bild 13" descr="behinde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hindert.bmp"/>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50495" cy="16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7728" behindDoc="0" locked="1" layoutInCell="0" allowOverlap="1">
              <wp:simplePos x="0" y="0"/>
              <wp:positionH relativeFrom="page">
                <wp:posOffset>215900</wp:posOffset>
              </wp:positionH>
              <wp:positionV relativeFrom="page">
                <wp:posOffset>5346700</wp:posOffset>
              </wp:positionV>
              <wp:extent cx="179705"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t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" o:allowincell="f">
              <w10:wrap anchorx="page" anchory="page"/>
              <w10:anchorlock/>
            </v:line>
          </w:pict>
        </mc:Fallback>
      </mc:AlternateContent>
    </w:r>
    <w:r>
      <w:rPr>
        <w:noProof/>
        <w:lang w:eastAsia="zh-CN"/>
      </w:rPr>
      <mc:AlternateContent>
        <mc:Choice Requires="wps">
          <w:drawing>
            <wp:anchor distT="0" distB="0" distL="114300" distR="114300" simplePos="0" relativeHeight="251658752" behindDoc="0" locked="1" layoutInCell="0" allowOverlap="1">
              <wp:simplePos x="0" y="0"/>
              <wp:positionH relativeFrom="page">
                <wp:posOffset>215900</wp:posOffset>
              </wp:positionH>
              <wp:positionV relativeFrom="page">
                <wp:posOffset>7560945</wp:posOffset>
              </wp:positionV>
              <wp:extent cx="10795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W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" o:allowincell="f">
              <w10:wrap anchorx="page" anchory="page"/>
              <w10:anchorlock/>
            </v:line>
          </w:pict>
        </mc:Fallback>
      </mc:AlternateContent>
    </w:r>
    <w:r w:rsidR="00B31D5A">
      <w:tab/>
      <w:t>Eingang</w:t>
    </w:r>
    <w:r w:rsidR="00B31D5A">
      <w:tab/>
      <w:t>Dienstgebäude</w:t>
    </w:r>
    <w:r w:rsidR="00B31D5A">
      <w:tab/>
      <w:t>Bus / Straßenbahn</w:t>
    </w:r>
    <w:r w:rsidR="00B31D5A">
      <w:tab/>
      <w:t>Sprechzeiten</w:t>
    </w:r>
    <w:r w:rsidR="00B31D5A">
      <w:tab/>
      <w:t>Bremer Landesbank (BLZ 290 500 00) Kto. 1070115000</w:t>
    </w:r>
    <w:r w:rsidR="00B31D5A">
      <w:br/>
    </w:r>
    <w:r w:rsidR="00B31D5A">
      <w:tab/>
    </w:r>
    <w:proofErr w:type="spellStart"/>
    <w:r w:rsidR="00B31D5A">
      <w:t>Contrescarpe</w:t>
    </w:r>
    <w:proofErr w:type="spellEnd"/>
    <w:r w:rsidR="00B31D5A">
      <w:t xml:space="preserve"> 22</w:t>
    </w:r>
    <w:r w:rsidR="00B31D5A">
      <w:tab/>
    </w:r>
    <w:proofErr w:type="spellStart"/>
    <w:r w:rsidR="00B31D5A">
      <w:t>Contrescarpe</w:t>
    </w:r>
    <w:proofErr w:type="spellEnd"/>
    <w:r w:rsidR="00B31D5A">
      <w:t xml:space="preserve"> 22/24</w:t>
    </w:r>
    <w:r w:rsidR="00B31D5A">
      <w:tab/>
      <w:t>Hauptbahnhof</w:t>
    </w:r>
    <w:r w:rsidR="00B31D5A">
      <w:tab/>
      <w:t>Mo. bis Do.</w:t>
    </w:r>
    <w:r w:rsidR="00B31D5A">
      <w:tab/>
      <w:t>Deutsche Bundesbank (BLZ 290 000 00) Kto. 29001565</w:t>
    </w:r>
    <w:r w:rsidR="00B31D5A">
      <w:br/>
    </w:r>
    <w:r w:rsidR="00B31D5A">
      <w:tab/>
      <w:t>28203 Bremen</w:t>
    </w:r>
    <w:r w:rsidR="00B31D5A">
      <w:tab/>
      <w:t>28203 Bremen</w:t>
    </w:r>
    <w:r w:rsidR="00B31D5A">
      <w:tab/>
      <w:t>Theater am</w:t>
    </w:r>
    <w:r w:rsidR="00B31D5A">
      <w:tab/>
      <w:t>9.00 bis 15.00 Uhr</w:t>
    </w:r>
    <w:r w:rsidR="00B31D5A">
      <w:tab/>
      <w:t>Sparkasse Bremen (BLZ 290 501 01) Kto. 1090653</w:t>
    </w:r>
    <w:r w:rsidR="00B31D5A">
      <w:br/>
    </w:r>
    <w:r w:rsidR="00B31D5A">
      <w:tab/>
    </w:r>
    <w:r w:rsidR="00B31D5A">
      <w:tab/>
    </w:r>
    <w:r w:rsidR="00B31D5A">
      <w:tab/>
      <w:t>Goetheplatz</w:t>
    </w:r>
    <w:r w:rsidR="00B31D5A">
      <w:tab/>
      <w:t>Fr. 9.00 bis 13.00 Uhr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23" w:rsidRDefault="00435F23">
      <w:r>
        <w:separator/>
      </w:r>
    </w:p>
  </w:footnote>
  <w:footnote w:type="continuationSeparator" w:id="0">
    <w:p w:rsidR="00435F23" w:rsidRDefault="00435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84" w:rsidRDefault="003508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D5A" w:rsidRDefault="00B31D5A">
    <w:pPr>
      <w:pStyle w:val="Kopfzeile"/>
      <w:jc w:val="right"/>
      <w:rPr>
        <w:sz w:val="16"/>
      </w:rPr>
    </w:pPr>
    <w:r>
      <w:rPr>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350884">
      <w:rPr>
        <w:rStyle w:val="Seitenzahl"/>
        <w:noProof/>
        <w:sz w:val="16"/>
      </w:rPr>
      <w:t>2</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350884">
      <w:rPr>
        <w:rStyle w:val="Seitenzahl"/>
        <w:noProof/>
        <w:sz w:val="16"/>
      </w:rPr>
      <w:t>2</w:t>
    </w:r>
    <w:r>
      <w:rPr>
        <w:rStyle w:val="Seitenzahl"/>
        <w:sz w:val="16"/>
      </w:rPr>
      <w:fldChar w:fldCharType="end"/>
    </w:r>
    <w:r>
      <w:rPr>
        <w:rStyle w:val="Seitenzahl"/>
        <w:sz w:val="16"/>
      </w:rPr>
      <w:t xml:space="preserve"> Seiten, Senator für Inneres und Sport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D5A" w:rsidRDefault="0035088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36.05pt;margin-top:47pt;width:23.55pt;height:31.8pt;z-index:251655680" o:allowincell="f" fillcolor="window">
          <v:imagedata r:id="rId1" o:title=""/>
        </v:shape>
        <o:OLEObject Type="Embed" ProgID="Word.Picture.8" ShapeID="_x0000_s2053" DrawAspect="Content" ObjectID="_1480421060" r:id="rId2"/>
      </w:pict>
    </w:r>
    <w:r w:rsidR="00F64872">
      <w:rPr>
        <w:noProof/>
        <w:lang w:eastAsia="zh-CN"/>
      </w:rPr>
      <mc:AlternateContent>
        <mc:Choice Requires="wps">
          <w:drawing>
            <wp:anchor distT="0" distB="0" distL="114300" distR="114300" simplePos="0" relativeHeight="251654656" behindDoc="0" locked="1" layoutInCell="0" allowOverlap="1">
              <wp:simplePos x="0" y="0"/>
              <wp:positionH relativeFrom="page">
                <wp:posOffset>215900</wp:posOffset>
              </wp:positionH>
              <wp:positionV relativeFrom="page">
                <wp:posOffset>3780790</wp:posOffset>
              </wp:positionV>
              <wp:extent cx="1079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2lF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" o:allowincell="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82F77"/>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attachedTemplate r:id="rId1"/>
  <w:defaultTabStop w:val="708"/>
  <w:autoHyphenation/>
  <w:hyphenationZone w:val="142"/>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72"/>
    <w:rsid w:val="00350884"/>
    <w:rsid w:val="00435F23"/>
    <w:rsid w:val="005E3F16"/>
    <w:rsid w:val="00B31D5A"/>
    <w:rsid w:val="00B600F7"/>
    <w:rsid w:val="00B87CE5"/>
    <w:rsid w:val="00BC3149"/>
    <w:rsid w:val="00D42BEC"/>
    <w:rsid w:val="00E32F64"/>
    <w:rsid w:val="00F1461E"/>
    <w:rsid w:val="00F6487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line="320" w:lineRule="exact"/>
      <w:outlineLvl w:val="0"/>
    </w:pPr>
    <w:rPr>
      <w:b/>
      <w:color w:val="000000"/>
      <w:sz w:val="24"/>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spacing w:line="320" w:lineRule="atLeast"/>
      <w:outlineLvl w:val="2"/>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rPr>
      <w:rFonts w:ascii="CG Times (WN)" w:hAnsi="CG Times (WN)"/>
    </w:rPr>
  </w:style>
  <w:style w:type="paragraph" w:styleId="Textkrper">
    <w:name w:val="Body Text"/>
    <w:basedOn w:val="Standard"/>
    <w:semiHidden/>
    <w:rPr>
      <w:b/>
      <w:sz w:val="24"/>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284"/>
        <w:tab w:val="left" w:pos="1701"/>
        <w:tab w:val="left" w:pos="3402"/>
        <w:tab w:val="left" w:pos="5103"/>
        <w:tab w:val="left" w:pos="6804"/>
        <w:tab w:val="left" w:pos="8505"/>
      </w:tabs>
      <w:spacing w:before="120" w:line="170" w:lineRule="atLeast"/>
    </w:pPr>
    <w:rPr>
      <w:sz w:val="15"/>
    </w:rPr>
  </w:style>
  <w:style w:type="paragraph" w:customStyle="1" w:styleId="Text">
    <w:name w:val="Text"/>
    <w:pPr>
      <w:tabs>
        <w:tab w:val="left" w:pos="6804"/>
      </w:tabs>
    </w:pPr>
    <w:rPr>
      <w:rFonts w:ascii="TimesNewRomanPS" w:hAnsi="TimesNewRomanPS"/>
      <w:color w:val="000000"/>
      <w:sz w:val="24"/>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Textkrper3">
    <w:name w:val="Body Text 3"/>
    <w:basedOn w:val="Standard"/>
    <w:semiHidden/>
    <w:pPr>
      <w:spacing w:line="320" w:lineRule="atLeas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line="320" w:lineRule="exact"/>
      <w:outlineLvl w:val="0"/>
    </w:pPr>
    <w:rPr>
      <w:b/>
      <w:color w:val="000000"/>
      <w:sz w:val="24"/>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spacing w:line="320" w:lineRule="atLeast"/>
      <w:outlineLvl w:val="2"/>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rPr>
      <w:rFonts w:ascii="CG Times (WN)" w:hAnsi="CG Times (WN)"/>
    </w:rPr>
  </w:style>
  <w:style w:type="paragraph" w:styleId="Textkrper">
    <w:name w:val="Body Text"/>
    <w:basedOn w:val="Standard"/>
    <w:semiHidden/>
    <w:rPr>
      <w:b/>
      <w:sz w:val="24"/>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284"/>
        <w:tab w:val="left" w:pos="1701"/>
        <w:tab w:val="left" w:pos="3402"/>
        <w:tab w:val="left" w:pos="5103"/>
        <w:tab w:val="left" w:pos="6804"/>
        <w:tab w:val="left" w:pos="8505"/>
      </w:tabs>
      <w:spacing w:before="120" w:line="170" w:lineRule="atLeast"/>
    </w:pPr>
    <w:rPr>
      <w:sz w:val="15"/>
    </w:rPr>
  </w:style>
  <w:style w:type="paragraph" w:customStyle="1" w:styleId="Text">
    <w:name w:val="Text"/>
    <w:pPr>
      <w:tabs>
        <w:tab w:val="left" w:pos="6804"/>
      </w:tabs>
    </w:pPr>
    <w:rPr>
      <w:rFonts w:ascii="TimesNewRomanPS" w:hAnsi="TimesNewRomanPS"/>
      <w:color w:val="000000"/>
      <w:sz w:val="24"/>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Textkrper3">
    <w:name w:val="Body Text 3"/>
    <w:basedOn w:val="Standard"/>
    <w:semiHidden/>
    <w:pPr>
      <w:spacing w:line="320" w:lineRule="atLeas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behindert.bmp"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I006-SIS\Abt2\Ref21\1.Staatsangeh&#246;rigkeitsrecht\Optionsverfahren\Hinnahme%20von%20Mehrstaatigkei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Hinnahme von Mehrstaatigkeit</Template>
  <TotalTime>0</TotalTime>
  <Pages>2</Pages>
  <Words>527</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Der Senator</vt:lpstr>
    </vt:vector>
  </TitlesOfParts>
  <Company>Bremen</Company>
  <LinksUpToDate>false</LinksUpToDate>
  <CharactersWithSpaces>4108</CharactersWithSpaces>
  <SharedDoc>false</SharedDoc>
  <HLinks>
    <vt:vector size="6" baseType="variant">
      <vt:variant>
        <vt:i4>5832727</vt:i4>
      </vt:variant>
      <vt:variant>
        <vt:i4>-1</vt:i4>
      </vt:variant>
      <vt:variant>
        <vt:i4>2061</vt:i4>
      </vt:variant>
      <vt:variant>
        <vt:i4>1</vt:i4>
      </vt:variant>
      <vt:variant>
        <vt:lpwstr>behindert.bmp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dc:title>
  <dc:creator>Döhle, Hans-Werner(Inneres)</dc:creator>
  <cp:lastModifiedBy>Döhle, Hans-Werner (Senator für Inneres und Sport)</cp:lastModifiedBy>
  <cp:revision>2</cp:revision>
  <cp:lastPrinted>2013-02-20T12:30:00Z</cp:lastPrinted>
  <dcterms:created xsi:type="dcterms:W3CDTF">2014-12-18T14:18:00Z</dcterms:created>
  <dcterms:modified xsi:type="dcterms:W3CDTF">2014-12-18T14:18:00Z</dcterms:modified>
</cp:coreProperties>
</file>